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514350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582930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95250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6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80" w:right="1340" w:hanging="2533"/>
        <w:spacing w:after="0" w:line="266" w:lineRule="auto"/>
        <w:tabs>
          <w:tab w:leader="none" w:pos="166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2026</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4" w:lineRule="exact"/>
        <w:rPr>
          <w:sz w:val="24"/>
          <w:szCs w:val="24"/>
          <w:color w:val="auto"/>
        </w:rPr>
      </w:pPr>
    </w:p>
    <w:p>
      <w:pPr>
        <w:ind w:left="3880" w:right="1320" w:hanging="2553"/>
        <w:spacing w:after="0" w:line="286" w:lineRule="auto"/>
        <w:tabs>
          <w:tab w:leader="none" w:pos="164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3" w:lineRule="exact"/>
        <w:rPr>
          <w:sz w:val="24"/>
          <w:szCs w:val="24"/>
          <w:color w:val="auto"/>
        </w:rPr>
      </w:pPr>
    </w:p>
    <w:tbl>
      <w:tblPr>
        <w:tblLayout w:type="fixed"/>
        <w:tblInd w:w="324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68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0"/>
        </w:trPr>
        <w:tc>
          <w:tcPr>
            <w:tcW w:w="19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67"/>
        </w:trPr>
        <w:tc>
          <w:tcPr>
            <w:tcW w:w="34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Commission File Number: 001-42143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23495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7" w:lineRule="exact"/>
        <w:rPr>
          <w:sz w:val="24"/>
          <w:szCs w:val="24"/>
          <w:color w:val="auto"/>
        </w:rPr>
      </w:pPr>
    </w:p>
    <w:tbl>
      <w:tblPr>
        <w:tblLayout w:type="fixed"/>
        <w:tblInd w:w="1660" w:type="dxa"/>
        <w:tblCellMar>
          <w:top w:w="0" w:type="dxa"/>
          <w:left w:w="0" w:type="dxa"/>
          <w:bottom w:w="0" w:type="dxa"/>
          <w:right w:w="0" w:type="dxa"/>
        </w:tblCellMar>
      </w:tblPr>
      <w:tr>
        <w:trPr>
          <w:trHeight w:val="475"/>
        </w:trPr>
        <w:tc>
          <w:tcPr>
            <w:tcW w:w="1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340" w:type="dxa"/>
            <w:vAlign w:val="bottom"/>
            <w:gridSpan w:val="2"/>
          </w:tcPr>
          <w:p>
            <w:pPr>
              <w:jc w:val="center"/>
              <w:ind w:right="1797"/>
              <w:spacing w:after="0"/>
              <w:rPr>
                <w:sz w:val="20"/>
                <w:szCs w:val="20"/>
                <w:color w:val="auto"/>
              </w:rPr>
            </w:pPr>
            <w:r>
              <w:rPr>
                <w:rFonts w:ascii="Times New Roman" w:cs="Times New Roman" w:eastAsia="Times New Roman" w:hAnsi="Times New Roman"/>
                <w:sz w:val="40"/>
                <w:szCs w:val="40"/>
                <w:b w:val="1"/>
                <w:bCs w:val="1"/>
                <w:color w:val="auto"/>
                <w:w w:val="99"/>
              </w:rPr>
              <w:t>Alumis Inc.</w:t>
            </w:r>
          </w:p>
        </w:tc>
      </w:tr>
      <w:tr>
        <w:trPr>
          <w:trHeight w:val="190"/>
        </w:trPr>
        <w:tc>
          <w:tcPr>
            <w:tcW w:w="1680" w:type="dxa"/>
            <w:vAlign w:val="bottom"/>
          </w:tcPr>
          <w:p>
            <w:pPr>
              <w:spacing w:after="0"/>
              <w:rPr>
                <w:sz w:val="16"/>
                <w:szCs w:val="16"/>
                <w:color w:val="auto"/>
              </w:rPr>
            </w:pPr>
          </w:p>
        </w:tc>
        <w:tc>
          <w:tcPr>
            <w:tcW w:w="4720" w:type="dxa"/>
            <w:vAlign w:val="bottom"/>
            <w:gridSpan w:val="3"/>
          </w:tcPr>
          <w:p>
            <w:pPr>
              <w:jc w:val="center"/>
              <w:ind w:right="1397"/>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7"/>
        </w:trPr>
        <w:tc>
          <w:tcPr>
            <w:tcW w:w="1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860" w:type="dxa"/>
            <w:vAlign w:val="bottom"/>
          </w:tcPr>
          <w:p>
            <w:pPr>
              <w:spacing w:after="0"/>
              <w:rPr>
                <w:sz w:val="3"/>
                <w:szCs w:val="3"/>
                <w:color w:val="auto"/>
              </w:rPr>
            </w:pPr>
          </w:p>
        </w:tc>
      </w:tr>
      <w:tr>
        <w:trPr>
          <w:trHeight w:val="270"/>
        </w:trPr>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720" w:type="dxa"/>
            <w:vAlign w:val="bottom"/>
            <w:gridSpan w:val="3"/>
          </w:tcPr>
          <w:p>
            <w:pPr>
              <w:jc w:val="center"/>
              <w:ind w:left="3408"/>
              <w:spacing w:after="0"/>
              <w:rPr>
                <w:sz w:val="20"/>
                <w:szCs w:val="20"/>
                <w:color w:val="auto"/>
              </w:rPr>
            </w:pPr>
            <w:r>
              <w:rPr>
                <w:rFonts w:ascii="Times New Roman" w:cs="Times New Roman" w:eastAsia="Times New Roman" w:hAnsi="Times New Roman"/>
                <w:sz w:val="14"/>
                <w:szCs w:val="14"/>
                <w:b w:val="1"/>
                <w:bCs w:val="1"/>
                <w:color w:val="auto"/>
              </w:rPr>
              <w:t>86-1771129</w:t>
            </w:r>
          </w:p>
        </w:tc>
      </w:tr>
      <w:tr>
        <w:trPr>
          <w:trHeight w:val="135"/>
        </w:trPr>
        <w:tc>
          <w:tcPr>
            <w:tcW w:w="1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jc w:val="center"/>
              <w:ind w:left="5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60" w:type="dxa"/>
            <w:vAlign w:val="bottom"/>
          </w:tcPr>
          <w:p>
            <w:pPr>
              <w:jc w:val="center"/>
              <w:ind w:left="557"/>
              <w:spacing w:after="0"/>
              <w:rPr>
                <w:sz w:val="20"/>
                <w:szCs w:val="20"/>
                <w:color w:val="auto"/>
              </w:rPr>
            </w:pPr>
            <w:r>
              <w:rPr>
                <w:rFonts w:ascii="Times New Roman" w:cs="Times New Roman" w:eastAsia="Times New Roman" w:hAnsi="Times New Roman"/>
                <w:sz w:val="13"/>
                <w:szCs w:val="13"/>
                <w:b w:val="1"/>
                <w:bCs w:val="1"/>
                <w:color w:val="auto"/>
                <w:w w:val="96"/>
              </w:rPr>
              <w:t>Identification Number)</w:t>
            </w:r>
          </w:p>
        </w:tc>
      </w:tr>
    </w:tbl>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280 East Grand Avenue</w:t>
      </w:r>
    </w:p>
    <w:p>
      <w:pPr>
        <w:jc w:val="center"/>
        <w:ind w:right="-19"/>
        <w:spacing w:after="0" w:line="237" w:lineRule="auto"/>
        <w:rPr>
          <w:sz w:val="20"/>
          <w:szCs w:val="20"/>
          <w:color w:val="auto"/>
        </w:rPr>
      </w:pPr>
      <w:r>
        <w:rPr>
          <w:rFonts w:ascii="Times New Roman" w:cs="Times New Roman" w:eastAsia="Times New Roman" w:hAnsi="Times New Roman"/>
          <w:sz w:val="14"/>
          <w:szCs w:val="14"/>
          <w:b w:val="1"/>
          <w:bCs w:val="1"/>
          <w:color w:val="auto"/>
        </w:rPr>
        <w:t>South San Francisco, CA 94080</w:t>
      </w: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(650) 231-6625</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66675</wp:posOffset>
            </wp:positionV>
            <wp:extent cx="15773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170" w:lineRule="exact"/>
        <w:rPr>
          <w:sz w:val="24"/>
          <w:szCs w:val="24"/>
          <w:color w:val="auto"/>
        </w:rPr>
      </w:pPr>
    </w:p>
    <w:p>
      <w:pPr>
        <w:ind w:right="46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tabs>
          <w:tab w:leader="none" w:pos="1140" w:val="left"/>
        </w:tabs>
        <w:rPr>
          <w:sz w:val="20"/>
          <w:szCs w:val="20"/>
          <w:color w:val="auto"/>
        </w:rPr>
      </w:pPr>
      <w:r>
        <w:rPr>
          <w:rFonts w:ascii="Times New Roman" w:cs="Times New Roman" w:eastAsia="Times New Roman" w:hAnsi="Times New Roman"/>
          <w:sz w:val="14"/>
          <w:szCs w:val="14"/>
          <w:color w:val="auto"/>
        </w:rPr>
        <w:t xml:space="preserve">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ind w:right="30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40"/>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80" w:type="dxa"/>
            <w:vAlign w:val="bottom"/>
            <w:gridSpan w:val="2"/>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80" w:type="dxa"/>
            <w:vAlign w:val="bottom"/>
            <w:gridSpan w:val="2"/>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216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60" w:type="dxa"/>
            <w:vAlign w:val="bottom"/>
          </w:tcPr>
          <w:p>
            <w:pPr>
              <w:spacing w:after="0"/>
              <w:rPr>
                <w:sz w:val="24"/>
                <w:szCs w:val="24"/>
                <w:color w:val="auto"/>
              </w:rPr>
            </w:pPr>
          </w:p>
        </w:tc>
        <w:tc>
          <w:tcPr>
            <w:tcW w:w="250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45"/>
        </w:trPr>
        <w:tc>
          <w:tcPr>
            <w:tcW w:w="956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40" w:type="dxa"/>
            <w:vAlign w:val="bottom"/>
            <w:gridSpan w:val="7"/>
          </w:tcPr>
          <w:p>
            <w:pPr>
              <w:spacing w:after="0" w:line="161" w:lineRule="exact"/>
              <w:rPr>
                <w:sz w:val="20"/>
                <w:szCs w:val="20"/>
                <w:color w:val="auto"/>
              </w:rPr>
            </w:pPr>
            <w:r>
              <w:rPr>
                <w:rFonts w:ascii="Times New Roman" w:cs="Times New Roman" w:eastAsia="Times New Roman" w:hAnsi="Times New Roman"/>
                <w:sz w:val="14"/>
                <w:szCs w:val="14"/>
                <w:color w:val="auto"/>
              </w:rPr>
              <w:t xml:space="preserve">financial accounting standards provided pursuant to Section 13(a) of the Exchange Act. </w:t>
            </w:r>
            <w:r>
              <w:rPr>
                <w:rFonts w:ascii="MS PGothic" w:cs="MS PGothic" w:eastAsia="MS PGothic" w:hAnsi="MS PGothic"/>
                <w:sz w:val="14"/>
                <w:szCs w:val="14"/>
                <w:color w:val="auto"/>
              </w:rPr>
              <w:t>☐</w:t>
            </w: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tc>
        <w:tc>
          <w:tcPr>
            <w:tcW w:w="296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4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40" w:type="dxa"/>
            <w:vAlign w:val="bottom"/>
          </w:tcPr>
          <w:p>
            <w:pPr>
              <w:spacing w:after="0"/>
              <w:rPr>
                <w:sz w:val="19"/>
                <w:szCs w:val="19"/>
                <w:color w:val="auto"/>
              </w:rPr>
            </w:pPr>
          </w:p>
        </w:tc>
        <w:tc>
          <w:tcPr>
            <w:tcW w:w="2160" w:type="dxa"/>
            <w:vAlign w:val="bottom"/>
            <w:gridSpan w:val="3"/>
          </w:tcPr>
          <w:p>
            <w:pPr>
              <w:jc w:val="center"/>
              <w:ind w:left="72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48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000" w:type="dxa"/>
            <w:vAlign w:val="bottom"/>
            <w:vMerge w:val="continue"/>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ALMS</w:t>
            </w:r>
          </w:p>
        </w:tc>
        <w:tc>
          <w:tcPr>
            <w:tcW w:w="20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c>
          <w:tcPr>
            <w:tcW w:w="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As of May 5, 2026, the registrant had 123,432,072 shares of voting common stock, $0.0001 par value per share, and 4,059,908 shares of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520700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83820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60" w:type="dxa"/>
            <w:vAlign w:val="bottom"/>
            <w:gridSpan w:val="9"/>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59"/>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4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54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w:t>
            </w:r>
          </w:p>
        </w:tc>
        <w:tc>
          <w:tcPr>
            <w:tcW w:w="1120" w:type="dxa"/>
            <w:vAlign w:val="bottom"/>
            <w:tcBorders>
              <w:top w:val="single" w:sz="8" w:color="0000EE"/>
            </w:tcBorders>
          </w:tcPr>
          <w:p>
            <w:pPr>
              <w:spacing w:after="0"/>
              <w:rPr>
                <w:sz w:val="24"/>
                <w:szCs w:val="24"/>
                <w:color w:val="auto"/>
              </w:rPr>
            </w:pPr>
          </w:p>
        </w:tc>
        <w:tc>
          <w:tcPr>
            <w:tcW w:w="1960" w:type="dxa"/>
            <w:vAlign w:val="bottom"/>
            <w:gridSpan w:val="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376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48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5"/>
              </w:rPr>
              <w:t>Part II</w:t>
            </w:r>
          </w:p>
        </w:tc>
        <w:tc>
          <w:tcPr>
            <w:tcW w:w="240" w:type="dxa"/>
            <w:vAlign w:val="bottom"/>
            <w:gridSpan w:val="2"/>
          </w:tcPr>
          <w:p>
            <w:pPr>
              <w:spacing w:after="0"/>
              <w:rPr>
                <w:sz w:val="24"/>
                <w:szCs w:val="24"/>
                <w:color w:val="auto"/>
              </w:rPr>
            </w:pP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40" w:type="dxa"/>
            <w:vAlign w:val="bottom"/>
          </w:tcPr>
          <w:p>
            <w:pPr>
              <w:spacing w:after="0"/>
              <w:rPr>
                <w:sz w:val="24"/>
                <w:szCs w:val="24"/>
                <w:color w:val="auto"/>
              </w:rPr>
            </w:pP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40" w:type="dxa"/>
            <w:vAlign w:val="bottom"/>
            <w:gridSpan w:val="2"/>
          </w:tcPr>
          <w:p>
            <w:pPr>
              <w:spacing w:after="0"/>
              <w:rPr>
                <w:sz w:val="24"/>
                <w:szCs w:val="24"/>
                <w:color w:val="auto"/>
              </w:rPr>
            </w:pPr>
          </w:p>
        </w:tc>
        <w:tc>
          <w:tcPr>
            <w:tcW w:w="14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04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4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24"/>
                <w:szCs w:val="24"/>
                <w:color w:val="auto"/>
              </w:rPr>
            </w:pP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24"/>
                <w:szCs w:val="24"/>
                <w:color w:val="auto"/>
              </w:rPr>
            </w:pP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572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6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4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44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bl>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unless otherwise stated or as the context otherwise requires, references to “Alumis,” “the Company,” “we,” “us,” “our” and similar references refer to Alumis Inc.</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also contains registered marks, trademarks and trade names of other companies. All other trademarks, registered marks and trade names appearing in this report are the property of their respective holders.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785495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U.S. Private Securities Litigation Reform Act of 1995 and Section 21E of the Securities Exchange Act of 1934, as amended (the “Exchange Act”) that involve substantial risks and uncertainties. All statements, other than statements of historical facts contained in this Quarterly Report on Form 10-Q, including statements regarding our future financial condition, business strategy and plans, and objectives of management for future operations, are forward-looking statements.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Quarterly Report on Form 10-Q, we caution you that these statements are based on a combination of facts and factors currently known by us and our projections of the future, about which we cannot be certain. Forward-looking statements in this Quarterly Report on Form 10-Q include, but are not limited to, statements about:</w:t>
      </w:r>
    </w:p>
    <w:p>
      <w:pPr>
        <w:spacing w:after="0" w:line="187" w:lineRule="exact"/>
        <w:rPr>
          <w:sz w:val="20"/>
          <w:szCs w:val="20"/>
          <w:color w:val="auto"/>
        </w:rPr>
      </w:pPr>
    </w:p>
    <w:p>
      <w:pPr>
        <w:ind w:left="380" w:right="79" w:hanging="330"/>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submit a New Drug Application (“NDA”) for envudeucitinib (“envu”), formerly known as ESK-001, in moderate-to-severe plaque psoriasis (“PsO”) in the second half of 2026;</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 envu to transform the treatment landscape for IL-23/IL-17—driven diseases as well as those driven by Type I interferon;</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envu to meaningfully elevate care for and effectively reduce the full burden of disease for patients with PsO;</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topline readout in our LUMUS Phase 2b trial;</w:t>
      </w:r>
    </w:p>
    <w:p>
      <w:pPr>
        <w:spacing w:after="0" w:line="22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any commercialization of our product candidates;</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research and development of our product candidates;</w:t>
      </w:r>
    </w:p>
    <w:p>
      <w:pPr>
        <w:spacing w:after="0" w:line="22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 including the success of competing product candidates and therapies that are, or may become, available;</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our strategic vision and planned product candidate pipeline;</w:t>
      </w:r>
    </w:p>
    <w:p>
      <w:pPr>
        <w:spacing w:after="0" w:line="22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success, cost and timing of our product candidate development activities and current and future clinical trials and studies, including study design;</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or other actions and related regulatory authority responses;</w:t>
      </w:r>
    </w:p>
    <w:p>
      <w:pPr>
        <w:spacing w:after="0" w:line="22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various third parties to engage in research and development activities involving our product candidates, and our ability to leverage those activities;</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benefits from any existing or future license or collaboration agreements, including the receipt of potential co-development, milestone and royalty payments;</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ease of administration associated with our product candidates;</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patient compatibility associated with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potential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potential of our product candidates to demonstrate differentiation from other approved therapies or therapies in development;</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if approved, maintain regulatory approval of any of our product candidates, and any related restrictions, limitations and/or warnings in the label of any approved product candidate;</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any approved products;</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any approved products;</w:t>
      </w:r>
    </w:p>
    <w:p>
      <w:pPr>
        <w:spacing w:after="0" w:line="22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22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our future revenue, as well as our future operating expenses, capital requirements and needs for additional financing;</w:t>
      </w:r>
    </w:p>
    <w:p>
      <w:pPr>
        <w:spacing w:after="0" w:line="16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intellectual property protection for our product candidates and technology and not infringe, misappropriate or otherwise violate the intellectual property of others;</w:t>
      </w:r>
    </w:p>
    <w:p>
      <w:pPr>
        <w:spacing w:after="0" w:line="16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Jumpstart Our Business Startups Act of 2012, as amended (the “JOBS Act”), and a “smaller reporting company,” as defined in Rule 12b-2 of the Exchange Act; and</w:t>
      </w:r>
    </w:p>
    <w:p>
      <w:pPr>
        <w:spacing w:after="0" w:line="175"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of belief and any statement of assumptions underlying any of the foregoing.</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You should refer to the section titled “Risk Factors” in Part II, Item 1A of this Quarterly Report on Form 10-Q for a discussion of other important factors that may cause our actual results to differ materially from those expressed or implied by our forward-looking statements. As a result of these factors, we cannot assure you that the forward-looking statements in this Quarterly Report on Form 10-Q will prove to be accurate.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8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December 31,</w:t>
            </w:r>
          </w:p>
        </w:tc>
        <w:tc>
          <w:tcPr>
            <w:tcW w:w="0" w:type="dxa"/>
            <w:vAlign w:val="bottom"/>
          </w:tcPr>
          <w:p>
            <w:pPr>
              <w:spacing w:after="0"/>
              <w:rPr>
                <w:sz w:val="1"/>
                <w:szCs w:val="1"/>
                <w:color w:val="auto"/>
              </w:rPr>
            </w:pPr>
          </w:p>
        </w:tc>
      </w:tr>
      <w:tr>
        <w:trPr>
          <w:trHeight w:val="17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20" w:type="dxa"/>
            <w:vAlign w:val="bottom"/>
          </w:tcPr>
          <w:p>
            <w:pPr>
              <w:spacing w:after="0"/>
              <w:rPr>
                <w:sz w:val="15"/>
                <w:szCs w:val="15"/>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63,885</w:t>
            </w:r>
          </w:p>
        </w:tc>
        <w:tc>
          <w:tcPr>
            <w:tcW w:w="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Marketable securities, current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459,058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Research and development prepaid expenses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prepaid expenses and current assets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532,407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Marketable securities, non-current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46,603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 non-current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6,831</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671,588</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77"/>
        </w:trPr>
        <w:tc>
          <w:tcPr>
            <w:tcW w:w="6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11,587</w:t>
            </w:r>
          </w:p>
        </w:tc>
        <w:tc>
          <w:tcPr>
            <w:tcW w:w="6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accrued expenses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 current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70,904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31,222</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liability</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 liability</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104,567</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Preferred stock, $0.0001 par value; 50,000,000 shares authorized, zero shares issued and</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outstanding as of March 31, 2026 and December 31, 2025</w:t>
            </w:r>
          </w:p>
        </w:tc>
        <w:tc>
          <w:tcPr>
            <w:tcW w:w="120" w:type="dxa"/>
            <w:vAlign w:val="bottom"/>
          </w:tcPr>
          <w:p>
            <w:pPr>
              <w:spacing w:after="0"/>
              <w:rPr>
                <w:sz w:val="18"/>
                <w:szCs w:val="18"/>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voting, $0.0001 par value; 492,815,092 voting shares authorized as of</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March 31, 2026 and December 31, 2025; 123,169,838 and 99,084,365 voting shares issued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Common stock, non-voting, $0.0001 par value; 7,184,908 non-voting shares authorized as of</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March 31, 2026 and December 31, 2025; 4,059,908 and 5,622,408 non-voting shares issued and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120" w:type="dxa"/>
            <w:vAlign w:val="bottom"/>
          </w:tcPr>
          <w:p>
            <w:pPr>
              <w:spacing w:after="0"/>
              <w:rPr>
                <w:sz w:val="18"/>
                <w:szCs w:val="18"/>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1,562,405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1,202,975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2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(994,929)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(901,876)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567,021</w:t>
            </w: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301,297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671,588</w:t>
            </w: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411,940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64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  Three Months Ended March 31,</w:t>
            </w:r>
          </w:p>
        </w:tc>
        <w:tc>
          <w:tcPr>
            <w:tcW w:w="0" w:type="dxa"/>
            <w:vAlign w:val="bottom"/>
          </w:tcPr>
          <w:p>
            <w:pPr>
              <w:spacing w:after="0"/>
              <w:rPr>
                <w:sz w:val="1"/>
                <w:szCs w:val="1"/>
                <w:color w:val="auto"/>
              </w:rPr>
            </w:pPr>
          </w:p>
        </w:tc>
      </w:tr>
      <w:tr>
        <w:trPr>
          <w:trHeight w:val="142"/>
        </w:trPr>
        <w:tc>
          <w:tcPr>
            <w:tcW w:w="62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8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License revenue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Collaboration revenue</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 expenses, including related party expenses of $66 and $262 for the</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three months ended March 31, 2026 and 2025, respectively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18,610</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100,150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118,917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(98,409)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(101,528)</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9"/>
        </w:trPr>
        <w:tc>
          <w:tcPr>
            <w:tcW w:w="62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(93,053)</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(98,963)</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2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color w:val="auto"/>
              </w:rPr>
              <w:t>Other comprehensive income (loss):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Unrealized gain (loss) on marketable securities,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199"/>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(93,708)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tcBorders>
              <w:bottom w:val="single" w:sz="8" w:color="CCEEFF"/>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20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of common stock outstanding, basic and diluted</w:t>
            </w: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125,050,645</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54,280,264</w:t>
            </w:r>
          </w:p>
        </w:tc>
        <w:tc>
          <w:tcPr>
            <w:tcW w:w="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7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29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3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gridSpan w:val="2"/>
          </w:tcPr>
          <w:p>
            <w:pPr>
              <w:jc w:val="right"/>
              <w:ind w:right="6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40" w:type="dxa"/>
            <w:vAlign w:val="bottom"/>
          </w:tcPr>
          <w:p>
            <w:pPr>
              <w:spacing w:after="0"/>
              <w:rPr>
                <w:sz w:val="11"/>
                <w:szCs w:val="11"/>
                <w:color w:val="auto"/>
              </w:rPr>
            </w:pPr>
          </w:p>
        </w:tc>
        <w:tc>
          <w:tcPr>
            <w:tcW w:w="14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920" w:type="dxa"/>
            <w:vAlign w:val="bottom"/>
            <w:gridSpan w:val="4"/>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Income (Loss)</w:t>
            </w:r>
          </w:p>
        </w:tc>
        <w:tc>
          <w:tcPr>
            <w:tcW w:w="240" w:type="dxa"/>
            <w:vAlign w:val="bottom"/>
            <w:gridSpan w:val="3"/>
          </w:tcPr>
          <w:p>
            <w:pPr>
              <w:jc w:val="right"/>
              <w:ind w:right="11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3"/>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300" w:type="dxa"/>
            <w:vAlign w:val="bottom"/>
            <w:gridSpan w:val="3"/>
          </w:tcPr>
          <w:p>
            <w:pPr>
              <w:jc w:val="right"/>
              <w:ind w:right="11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5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104,706,773</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1,202,975</w:t>
            </w: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188</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(901,876)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301,297</w:t>
            </w:r>
          </w:p>
        </w:tc>
        <w:tc>
          <w:tcPr>
            <w:tcW w:w="0" w:type="dxa"/>
            <w:vAlign w:val="bottom"/>
          </w:tcPr>
          <w:p>
            <w:pPr>
              <w:spacing w:after="0"/>
              <w:rPr>
                <w:sz w:val="1"/>
                <w:szCs w:val="1"/>
                <w:color w:val="auto"/>
              </w:rPr>
            </w:pPr>
          </w:p>
        </w:tc>
      </w:tr>
      <w:tr>
        <w:trPr>
          <w:trHeight w:val="126"/>
        </w:trPr>
        <w:tc>
          <w:tcPr>
            <w:tcW w:w="2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in public offering, net</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of underwriting discounts, commissions and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20,297,500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323,797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323,799</w:t>
            </w:r>
          </w:p>
        </w:tc>
        <w:tc>
          <w:tcPr>
            <w:tcW w:w="0" w:type="dxa"/>
            <w:vAlign w:val="bottom"/>
          </w:tcPr>
          <w:p>
            <w:pPr>
              <w:spacing w:after="0"/>
              <w:rPr>
                <w:sz w:val="1"/>
                <w:szCs w:val="1"/>
                <w:color w:val="auto"/>
              </w:rPr>
            </w:pPr>
          </w:p>
        </w:tc>
      </w:tr>
      <w:tr>
        <w:trPr>
          <w:trHeight w:val="171"/>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offering costs of $21,260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gridSpan w:val="2"/>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2,177,964</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23,265</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23,265</w:t>
            </w:r>
          </w:p>
        </w:tc>
        <w:tc>
          <w:tcPr>
            <w:tcW w:w="0" w:type="dxa"/>
            <w:vAlign w:val="bottom"/>
          </w:tcPr>
          <w:p>
            <w:pPr>
              <w:spacing w:after="0"/>
              <w:rPr>
                <w:sz w:val="1"/>
                <w:szCs w:val="1"/>
                <w:color w:val="auto"/>
              </w:rPr>
            </w:pPr>
          </w:p>
        </w:tc>
      </w:tr>
      <w:tr>
        <w:trPr>
          <w:trHeight w:val="171"/>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96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common stock upon vesting of</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47,509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Vesting of early exercised stock options</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9"/>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12,339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12,339</w:t>
            </w: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48"/>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(93,053)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(93,053)</w:t>
            </w: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127,229,746</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1,562,405</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(994,929)</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567,021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60" w:type="dxa"/>
            <w:vAlign w:val="bottom"/>
            <w:gridSpan w:val="7"/>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29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1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tcBorders>
            <w:gridSpan w:val="2"/>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09"/>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40"/>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5"/>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Income (Loss)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3"/>
          </w:tcPr>
          <w:p>
            <w:pPr>
              <w:jc w:val="right"/>
              <w:ind w:right="3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300" w:type="dxa"/>
            <w:vAlign w:val="bottom"/>
            <w:gridSpan w:val="3"/>
          </w:tcPr>
          <w:p>
            <w:pPr>
              <w:jc w:val="right"/>
              <w:ind w:right="15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center"/>
              <w:ind w:right="7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54,407,327</w:t>
            </w: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918,610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(658,551)</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260,104</w:t>
            </w:r>
          </w:p>
        </w:tc>
        <w:tc>
          <w:tcPr>
            <w:tcW w:w="0" w:type="dxa"/>
            <w:vAlign w:val="bottom"/>
          </w:tcPr>
          <w:p>
            <w:pPr>
              <w:spacing w:after="0"/>
              <w:rPr>
                <w:sz w:val="1"/>
                <w:szCs w:val="1"/>
                <w:color w:val="auto"/>
              </w:rPr>
            </w:pPr>
          </w:p>
        </w:tc>
      </w:tr>
      <w:tr>
        <w:trPr>
          <w:trHeight w:val="149"/>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Vesting of early exercised stock options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148"/>
        </w:trPr>
        <w:tc>
          <w:tcPr>
            <w:tcW w:w="2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Vesting of restricted shares of common stock</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6,995</w:t>
            </w:r>
          </w:p>
        </w:tc>
        <w:tc>
          <w:tcPr>
            <w:tcW w:w="0" w:type="dxa"/>
            <w:vAlign w:val="bottom"/>
          </w:tcPr>
          <w:p>
            <w:pPr>
              <w:spacing w:after="0"/>
              <w:rPr>
                <w:sz w:val="1"/>
                <w:szCs w:val="1"/>
                <w:color w:val="auto"/>
              </w:rPr>
            </w:pPr>
          </w:p>
        </w:tc>
      </w:tr>
      <w:tr>
        <w:trPr>
          <w:trHeight w:val="149"/>
        </w:trPr>
        <w:tc>
          <w:tcPr>
            <w:tcW w:w="29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 (loss), net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8"/>
        </w:trPr>
        <w:tc>
          <w:tcPr>
            <w:tcW w:w="29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(98,963)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(98,963)</w:t>
            </w:r>
          </w:p>
        </w:tc>
        <w:tc>
          <w:tcPr>
            <w:tcW w:w="0" w:type="dxa"/>
            <w:vAlign w:val="bottom"/>
          </w:tcPr>
          <w:p>
            <w:pPr>
              <w:spacing w:after="0"/>
              <w:rPr>
                <w:sz w:val="1"/>
                <w:szCs w:val="1"/>
                <w:color w:val="auto"/>
              </w:rPr>
            </w:pPr>
          </w:p>
        </w:tc>
      </w:tr>
      <w:tr>
        <w:trPr>
          <w:trHeight w:val="142"/>
        </w:trPr>
        <w:tc>
          <w:tcPr>
            <w:tcW w:w="2960" w:type="dxa"/>
            <w:vAlign w:val="bottom"/>
            <w:tcBorders>
              <w:top w:val="single" w:sz="8" w:color="CCEEFF"/>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54,407,327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925,831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gridSpan w:val="2"/>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(757,514)</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168,314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  Three Months Ended March 31,</w:t>
            </w: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(93,053)</w:t>
            </w: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accretion of discounts on marketable securities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Non-cash lease expense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 prepaid expenses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prepaid expenses and other assets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 non-current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Research and development accrued expenses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(87,082)</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142,862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(428,384)</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(285,686)</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public offering of common stock, net of underwriter discounts, commissions and</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offering costs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323,797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23,191</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346,988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(40,927)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91,053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65,273</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3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 recorded for stock option exercises pending settlement</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17"/>
                <w:szCs w:val="17"/>
                <w:color w:val="auto"/>
              </w:rPr>
            </w:pP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other accrued expenses and current</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 and unvested restricted shares of common stock</w:t>
            </w:r>
          </w:p>
        </w:tc>
        <w:tc>
          <w:tcPr>
            <w:tcW w:w="4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 w:type="dxa"/>
            <w:vAlign w:val="bottom"/>
          </w:tcPr>
          <w:p>
            <w:pPr>
              <w:spacing w:after="0"/>
              <w:rPr>
                <w:sz w:val="17"/>
                <w:szCs w:val="17"/>
                <w:color w:val="auto"/>
              </w:rPr>
            </w:pPr>
          </w:p>
        </w:tc>
        <w:tc>
          <w:tcPr>
            <w:tcW w:w="4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liabilities</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63,885</w:t>
            </w:r>
          </w:p>
        </w:tc>
        <w:tc>
          <w:tcPr>
            <w:tcW w:w="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65,273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129,705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Alumis Inc. (the “Company”) is a clinical stage biopharmaceutical company focused on identifying, acquiring, and accelerating the development and commercialization of transformative medicines for autoimmune disorders. The Company leverages its proprietary precision data analytics platform, biological insights, and a team of experts with deep experience in precision medicine drug discovery, development, and immunology, in its mission to create medicines that significantly improve the lives of patients by replacing broad immunosuppression with targeted therapies.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was founded on January 29, 2021, as a Delaware corporation under the name FL2021-001, Inc. FL2021-001, Inc.’s name was changed to Esker Therapeutics, Inc. on March 8, 2021, and to Alumis Inc. on January 6, 2022. The Company is headquartered in South San Francisco, California.</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two wholly owned subsidiaries, ACELYRIN, Inc. (“ACELYRIN”), a Delaware corporation incorporated on July 27, 2020 and its wholly owned subsidiary, WH2, LLC. Arrow Merger Sub, Inc. (“Merger Sub”), the Company’s wholly owned subsidiary incorporated in January 2025, was merged with and into ACELYRIN in May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ACELYRIN Merger</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6, 2025, the Company entered into an Agreement and Plan of Merger, and, on April 20, 2025, the Company entered into an Amendment to Agreement and Plan of Merger (collectively the “Merger Agreement”) with ACELYRIN and Merger Sub, a Delaware corporation and a direct wholly owned subsidiary of the Company. Under the terms of the Merger Agreement, Merger Sub merged with and into ACELYRIN, with ACELYRIN continuing as a direct wholly owned subsidiary of the Company (the “ACELYRIN Merger”). The Merger Agreement was approved by the disinterested directors on the Company’s board of directors and the board of directors of ACELYRIN and was approved by the stockholders of each company on May 13, 2025. On May 21, 2025, the Company completed the ACELYRIN Merger with ACELYRIN for a purchase consideration of $238.1 million that included the issuance of 48,653,549 shares of the Company’s common stock and the fair value of replacement awards attributable to pre-combination services, to acquire net assets with a fair value of $426.0 million. See Note 3 for additional information.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January 7, 2026, the Company entered into an underwriting agreement (the “Underwriting Agreement”) with Morgan Stanley &amp; Co. LLC, Leerink Partners LLC and Cantor Fitzgerald &amp; Co. (“Cantor”) (collectively the “Underwriters”), relating to the issuance and sale in a public offering of 17,650,000 shares of the Company’s common stock at a price of $17.00 per share. In addition, the Company granted the Underwriters an option, exercisable for 30 days, to purchase up to 2,647,500 additional shares of common stock at the public offering price, less the underwriting discounts and commissions, which was exercised in full on January 8, 2026. On January 9, 2026, the offering closed and the Company received net proceeds of $324.4 million, after deducting underwriting discounts and commissions.</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offering was made pursuant to a shelf registration statement on Form S-3 (File No. 333-288510) that was filed with the SEC on July 3, 2025 and declared effective by the SEC on August 19, 2025, and related prospectus and prospectus supplement thereunder.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Controlled Equity Offering</w:t>
      </w:r>
      <w:r>
        <w:rPr>
          <w:rFonts w:ascii="Times New Roman" w:cs="Times New Roman" w:eastAsia="Times New Roman" w:hAnsi="Times New Roman"/>
          <w:sz w:val="26"/>
          <w:szCs w:val="26"/>
          <w:b w:val="1"/>
          <w:bCs w:val="1"/>
          <w:i w:val="1"/>
          <w:iCs w:val="1"/>
          <w:color w:val="auto"/>
          <w:vertAlign w:val="superscript"/>
        </w:rPr>
        <w:t>SM</w:t>
      </w:r>
    </w:p>
    <w:p>
      <w:pPr>
        <w:spacing w:after="0" w:line="137"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On March 18, 2026, the Company entered into a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(the “Sales Agreement”) with Cantor as sales agent, pursuant to which the Company may offer and sell, from time to time through Cantor, at its option, shares of its common stock having an aggregate offering price of up to $300.0 million (the “ATM Shares”). The sales of the ATM Shares will be made by any method permitted that is deemed to be an “at-the-market” equity offering as defined in Rule 415(a)(4) promulgated under the Securities Act, including sales made directly on or through the Nasdaq Global Select Market. The Company agreed to pay Cantor a commission of up to 3.0% of the aggregate gross proceeds from any ATM Shares sold by Cantor. As of March 31, 2026, no ATM Shares were sold under the Sales Agreement.</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incurred negative operating cash flows and significant losses from operations since its inception. For the three months ended March 31, 2026 and 2025, the Company incurred net losses of $93.1 million and $99.0 million, respectively. Cash used in operating activities was $87.1 million and $80.4 million for the three months ended March 31, 2026 and 2025, respectively. As of March 31, 2026, the Company had an accumulated deficit of $994.9 million.</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has historically funded its operations primarily through the issuance of common stock, including in connection with the ACELYRIN Merger and the Company’s initial public offering (“IPO”) and a concurrent private placement transaction, the issuance of redeemable convertible preferred stock and convertible promissory notes in private placements, and, most recently, the public offering of common stock which closed on January 9, 2026, as well as cash payments received under the collaboration and license agreement (the “Kaken Collaboration Agreement”) with Kaken Pharmaceutical Co., Ltd. (“Kaken”). The Company expects to continue to incur substantial losses for the foreseeable future,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The Company believes that, based on its current operating plan, its existing cash, cash equivalents and marketable securities of $569.5 million as of March 31, 2026, will be sufficient to meet its operating and capital requirements for at least 12 months from the date of issuance of these unaudited condensed consolidated financial statements.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will need to raise significant additional capital to fund ongoing research and development activities and maintain future operations. The Company’s management continuously monitors and, where necessary, may reduce its operating expenses in response to its clinical development progress and its ability and need to raise additional capital through a combination of public and private equity, debt financings, strategic alliances and licensing arrangements. For example, should any of the Company’s ongoing trials not meet its clinical development objectives, the Company may scale back or discontinue related activities and reallocate its working capital to extend its ability to meet its operating and capital requirements. The Company’s ability to access capital when needed is not assured and, if capital is not available to the Company when, and in the amounts, needed, on the terms which are favorable, the Company could be required to delay, scale back, or abandon some or all of its planned development programs and other operations, which could materially harm the Company’s business, financial condition and results of operations.</w:t>
      </w:r>
    </w:p>
    <w:p>
      <w:pPr>
        <w:spacing w:after="0" w:line="190"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Basis of Presentation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used in the preparation of the accompanying unaudited condensed consolidated financial statements are described in the Company’s audited consolidated financial statements for the year ended December 31, 2025 included in the Company’s Annual Report on Form 10-K filed with the SEC on March 19, 2026. There have been no material changes in the Company’s significant accounting policies during the three months ended March 31,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and accompanying notes are unaudited and have been prepared in accordance with accounting principles generally accepted in the United States of America (“U.S. GAAP”) and applicable rules and regulations of the SEC regarding interim financial reporting and do not contain all information that is included in the annual financial statements and notes thereto of the Company.</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accounts of its subsidiaries, and all intercompany transactions were eliminated. The Company’s unaudited condensed consolidated financial statements include the accounts of its subsidiaries ACELYRIN and WH2, LLC after the closing of the ACELYRIN Merger, and the accounts of Merger Sub from its incorporation in January 2025 until the ACELYRIN Merger. WH2, LLC has not had any operations or any balances since the closing of the ACELYRIN Merger.</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March 31, 2026 and its results of operations and its cash flows for the three months ended March 31, 2026 and 2025. The condensed balance sheet as of December 31, 2025, included in this filing, was derived from audited annual consolidated financial statements but does not include all disclosures required by U.S. GAAP. The results of operations for the three months ended March 31, 2026 and 2025 are not necessarily indicative of the results of operations to be expected for the full year or for any other subsequent interim period.</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the authoritative U.S. GAAP as found in the Accounting Standards Codification (“ASC”) and Accounting Standards Updates (“ASU”) of the Financial Accounting Standards Board (“FASB”).</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an ongoing basis, the Company evaluates estimates and assumptions, including but not limited to those related to accrued research and development expenses, valuation of acquired in-process research and development (“IPR&amp;D”) intangible assets, revenue recognition, and stock-based compensation expense.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Geographical Information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researching and developing medicines for autoimmune disorders. The chief executive officer, who is the chief operating decision maker (“CODM”), reviews financial information on an aggregate basis for purposes of allocating resources and evaluating financial performance. See Note 14 for additional information. All of the Company’s long-lived assets are located in the United States.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 of credit risk consist primarily of cash and cash equivalents, investments in marketable securities, accounts receivable and restricted cash. The Company maintains</w:t>
      </w:r>
    </w:p>
    <w:p>
      <w:pPr>
        <w:sectPr>
          <w:pgSz w:w="11900" w:h="16838" w:orient="portrait"/>
          <w:cols w:equalWidth="0" w:num="1">
            <w:col w:w="9019"/>
          </w:cols>
          <w:pgMar w:left="1440" w:top="500"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bank deposits in federally insured financial institutions and certain of these deposits exceed federally insured limits. To date, the Company has not experienced any losses on its deposits of cash and periodically evaluates the creditworthiness of the financial institutions at which its bank deposits are maintained.</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also invests in money market funds, U.S. Treasury obligations, commercial paper, corporate debt obligations, supranational debt obligations, and government development bank obligations, which can be subject to certain credit risks. The Company mitigates credit risk by limiting its exposure to any one issuer and monitoring the ongoing creditworthiness of the financial institutions at which investments are maintained and of the issuers of the marketable securities. To date, the Company has not experienced any loss of principal on its financial instruments.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considers a customer to be significant when revenues from that customer represent 10% or more of total revenues. All of the Company’s revenues are currently earned under its license and collaboration agreement with Kaken. As a result, the Company is subject to customer concentration risk. To date, the Company has not incurred any credit losses in connection with the Kaken Collaboration Agreement.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subject to certain risks and uncertainties, including, but not limited to, changes in any of the following areas that the Company believes could have a material adverse effect on the future financial position or results of operations: the Company’s ability to advance the development of its proprietary precision data analytics platform, timing and ability to advance its product candidates through preclinical and clinical development; costs and timelines associated with the manufacturing of clinical supplies; regulatory approval, market acceptance of, and reimbursement for, any product candidates the Company may develop; performance of third-party vendors; competition from pharmaceutical or other biotechnology companies with greater financial resources or expertise; protection of intellectual property; litigation or claims against the Company based on intellectual property or other factors; and its ability to attract and retain employees necessary to support its growth.</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Further, the Company’s business and results of operations may be affected by worldwide economic conditions, which may continue to be impacted by global macroeconomic challenges and uncertainty in the markets, including international trade policies and tariffs,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The United States and other countries have imposed and may continue to impose new trade restrictions and export regulations, have levied tariffs and taxes on certain goods, including tariffs targeting pharmaceutical products and related inputs, and could continue to significantly increase tariffs on a broad array of goods. Similarly, the Company’s financial condition and results of operations may continue to be affected by global volatility and general market disruption resulting from geopolitical tensions, such as the ongoing Russia-Ukraine military conflict and the ongoing military conflict involving the U.S., Israel and Iran. In particular, the continued escalation of hostilities in the Middle East, including involving Iran, could further disrupt global energy markets, fuel prices, transportation networks, and supply chains, which may disrupt or otherwise negatively impact the Company’s supply chain and increase its costs. These worldwide economic conditions, global trade policies and geopolitical developments may negatively impact the Company’s business, financial position and results of operations.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qualifies as an “emerging growth company” as defined in the JOBS Act, and has elected not to “opt out” of the extended transition related to complying with new or revised accounting standards, which means that when a standard is issued or revised and it has different application dates for public and private companies, the Company will adopt the new or revised standard at the time private companies adopt the new or revised standard and will do so until such time that the Company either (i) irrevocably elects to “opt out”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such extended transition period or (ii) no longer qualifies as an emerging growth company. The Company may choose to early adopt any new or revised accounting standards whenever such early adoption is permitted for private companies.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08" w:lineRule="exact"/>
        <w:rPr>
          <w:sz w:val="20"/>
          <w:szCs w:val="20"/>
          <w:color w:val="auto"/>
        </w:rPr>
      </w:pPr>
    </w:p>
    <w:p>
      <w:pPr>
        <w:jc w:val="both"/>
        <w:ind w:left="60" w:right="59"/>
        <w:spacing w:after="0" w:line="224" w:lineRule="exact"/>
        <w:rPr>
          <w:sz w:val="20"/>
          <w:szCs w:val="20"/>
          <w:color w:val="auto"/>
        </w:rPr>
      </w:pPr>
      <w:r>
        <w:rPr>
          <w:rFonts w:ascii="Times New Roman" w:cs="Times New Roman" w:eastAsia="Times New Roman" w:hAnsi="Times New Roman"/>
          <w:sz w:val="18"/>
          <w:szCs w:val="18"/>
          <w:color w:val="auto"/>
        </w:rPr>
        <w:t xml:space="preserve">In July 2025, the FASB issued </w:t>
      </w:r>
      <w:r>
        <w:rPr>
          <w:rFonts w:ascii="Times New Roman" w:cs="Times New Roman" w:eastAsia="Times New Roman" w:hAnsi="Times New Roman"/>
          <w:sz w:val="18"/>
          <w:szCs w:val="18"/>
          <w:i w:val="1"/>
          <w:iCs w:val="1"/>
          <w:color w:val="auto"/>
        </w:rPr>
        <w:t>ASU 2025</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05, Financial Instruments—Credit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for Accounts Receivable and Contract Assets (“ASU 2025-05”) </w:t>
      </w:r>
      <w:r>
        <w:rPr>
          <w:rFonts w:ascii="Times New Roman" w:cs="Times New Roman" w:eastAsia="Times New Roman" w:hAnsi="Times New Roman"/>
          <w:sz w:val="18"/>
          <w:szCs w:val="18"/>
          <w:color w:val="auto"/>
        </w:rPr>
        <w:t>which provides a practical expedient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policy election related to estimating expected credit losses for certain receivables and contract assets. The Company adopted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as of January 1, 2026. Adoption of this guidance did not have a material impact on the Company’s consolidated financial statements.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and Not Yet Adopted Accounting Pronouncements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(Topic 220)</w:t>
      </w:r>
      <w:r>
        <w:rPr>
          <w:rFonts w:ascii="Times New Roman" w:cs="Times New Roman" w:eastAsia="Times New Roman" w:hAnsi="Times New Roman"/>
          <w:sz w:val="18"/>
          <w:szCs w:val="18"/>
          <w:color w:val="auto"/>
        </w:rPr>
        <w:t xml:space="preserve"> (“ASU 2024-03”), requiring that public business entities disclose additional information about specific expense categories in the notes to financial statements at interim and annual reporting periods. The amendments of ASU 2024-03 are effective for annual reporting periods beginning after December 15, 2026, and interim reporting periods beginning after December 15, 2027. The requirements of ASU 2024-03 may be applied either prospectively to financial statements issued for reporting periods after the effective date or retrospectively to any or all prior periods presented in the financial statements. The Company is currently evaluating the impact of adopting ASU 2024-03 on its consolidated financial statements and disclosures.</w:t>
      </w:r>
    </w:p>
    <w:p>
      <w:pPr>
        <w:spacing w:after="0" w:line="18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which clarifies the form and content of interim financial statements, adds a comprehensive list of required interim disclosures, and provides a disclosure principle for condensed interim financial statements. ASU 2025-11 is effective for interim reporting periods within annual reporting periods beginning after December 15, 2027. Early adoption is permitted and, on adoption, can be applied either prospectively or retrospectively to any or all periods presented in the financial statements. The Company is currently evaluating the impact of the new standard on the Company's consolidated financial statements and related disclosures.</w:t>
      </w:r>
    </w:p>
    <w:p>
      <w:pPr>
        <w:spacing w:after="0" w:line="181" w:lineRule="exact"/>
        <w:rPr>
          <w:sz w:val="20"/>
          <w:szCs w:val="20"/>
          <w:color w:val="auto"/>
        </w:rPr>
      </w:pPr>
    </w:p>
    <w:p>
      <w:pPr>
        <w:ind w:left="380" w:hanging="330"/>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ACELYRIN Merger</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 xml:space="preserve">The Company completed its acquisition of ACELYRIN on May 21, 2025 (the “Closing Date”) and accounted for the transaction as an acquisition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ACELYRIN was a late-stage biopharma company focused on identifying, acquiring, and accelerating the development and commercialization of transformative medicines. ACELYRIN’s portfolio consisted of lonigutamab, a subcutaneously delivered, monoclonal antibody targeting IGF-1R for the potential treatment of Thyroid Eye Disease (“TED”). The ACELYRIN Merger strengthened the Company’s balance sheet and its cash position and added the lonigutamab product candidate to the Company’s development portfolio as of the Closing Date. The ACELYRIN Merger was accounted for as a business combination with the Company being treated as the accounting acquirer.</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the Closing Date, the Company (i) issued 48,653,549 shares of its common stock in exchange for ACELYRIN’s issued and outstanding common stock shares and paid cash for fractional shares, (ii) assumed ACELYRIN’s stock options with an exercise price of $18.00 or less outstanding and unexercised immediately prior to the Closing Date, which were exercisable into 4,712,186 shares of the Company’s common stock, (iii) assumed ACELYRIN’s restricted stock units (“RSUs”) outstanding and unvested immediately prior to the Closing Date, which were converted into 1,323,905 of the Company’s RSUs, and (iv) assumed ACELYRIN’s performance RSUs outstanding and unvested immediately prior to the Closing Date, which were converted into 146,963 of the Company’s RSUs subject only to a service vesting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Outstanding shares, stock options, RSUs and performance RSUs were exchanged at the exchange ratio of 0.4814 shares of the Company’s common stock for each share of ACELYRIN’s common stock (the “Exchange Ratio”). ACELYRIN’s outstanding and unexercised stock options with exercise prices more than $18.00 were cancelled. Exercise prices for the assumed stock options were determined as the product of the original exercise prices multiplied by the reciprocal of the Exchange Ratio. Converted ACELYRIN stock options and RSUs continue to vest in accordance with their original terms. Performance RSUs were deemed to have 100% satisfied their performance conditions and will vest in two equal installments on May 15 of calendar years 2026 and 2027, subject to the holder of the converted performance RSUs remaining in service with the Company or any of its subsidiaries on such date.</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purchase price consideration consisted of the Company’s shares of common stock issued as of the Closing Date and the additional stock-based compensation related to the fair value of replacement awards attributable to pre-combination services, and was calculated as follows (in thousands, except share and per share amounts):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shares of common stock issued to holders of ACELYRIN common stock</w:t>
            </w:r>
          </w:p>
        </w:tc>
        <w:tc>
          <w:tcPr>
            <w:tcW w:w="1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48,653,549</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Closing price per share of common stock as of Closing Date</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 transferred for share exchange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232,564</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replacement awards attributable to pre-combination services</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238,077</w:t>
            </w:r>
          </w:p>
        </w:tc>
      </w:tr>
      <w:tr>
        <w:trPr>
          <w:trHeight w:val="20"/>
        </w:trPr>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final purchase price allocation of the fair value of the net assets acquired and liabilities assumed as of the Closing Date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prepaid expenses</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credit voucher for clinical manufacturing</w:t>
            </w:r>
          </w:p>
        </w:tc>
        <w:tc>
          <w:tcPr>
            <w:tcW w:w="2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prepaid expenses and current assets</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2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assets, non-current</w:t>
            </w:r>
          </w:p>
        </w:tc>
        <w:tc>
          <w:tcPr>
            <w:tcW w:w="2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566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accrued expenses</w:t>
            </w:r>
          </w:p>
        </w:tc>
        <w:tc>
          <w:tcPr>
            <w:tcW w:w="2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accrued expenses and current liabilities</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21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net assets</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425,984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consideration</w:t>
            </w:r>
          </w:p>
        </w:tc>
        <w:tc>
          <w:tcPr>
            <w:tcW w:w="21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Gain on bargain purchase</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Intangible assets consist of an acquired IPR&amp;D intangible asset related to the lonigutamab product candidate that was in development as of the Closing Date. The acquired IPR&amp;D intangible asset was initially recognized at a fair value of $51.0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million, determined using the multi-period excess earnings method, which reflected the present value of projected incremental after-tax cash flows attributable to the asset as of the Closing Date. The valuation utilized a discount rate of 24.0% representing management’s best estimate of a market participant's after-tax weighted average cost of capital. Projected future cash flows were based on significant estimates, including estimated revenues, costs and probabilities of achieving technical and regulatory milestones, among other factors. The acquired IPR&amp;D intangible asset is classified as an indefinite-lived intangible asset and, accordingly, is not amortized but is subject to annual impairment testing, or more frequently if events or changes in circumstances indicate that the asset may be impaired.</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March 31, 2026, the Company evaluated its acquired IPR&amp;D intangible asset for indicators of impairment and concluded that no such indicators were present. Subsequent to March 31, 2026, the Company completed its strategic review of the lonigutamab program and decided to explore strategic alternatives for the program. The outcome of this evaluation could represent an event or change in circumstances that may require the Company to perform an interim impairment assessment of the acquired IPR&amp;D intangible asset.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acquired a prepaid credit voucher for clinical manufacturing issued by one of ACELYRIN’s contract manufacturers that will be applied towards payments of clinical product manufacturing invoices issued by the vendor. The remaining balance of $11.4 million as of the Closing Date was not adjusted from its carrying amount as its fair value approximated its carrying value as of this date.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acquired two operating leases and a sublease. Refer to Note 9 for additional details. The Company estimated the fair value of lease liabilities as the present value of the remaining lease payments, as if the acquired leases were new leases of the acquirer as of the Closing Date. The Company measured the right-of-use asset at the same amount as the lease liability as adjusted to reflect favorable or unfavorable terms of the lease when compared with market terms. As ACELYRIN entered into a sublease in February 2025, these sublease terms were considered at market terms. As of the Closing Date, the fair value of operating lease liabilities, current, increased by $0.2 million and the fair value of operating lease liabilities, non-current, increased by $0.5 million. As of the Closing Date, the fair value of operating lease right-of-use assets, net, decreased by $0.1 million.</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Because the fair value of the identifiable assets acquired and liabilities assumed exceeded the fair value of the purchase consideration transferred, the Company recorded a gain on bargain purchase of $187.9 million as of the Closing Date. Consequently, the Company reassessed the recognition and measurement of identifiable assets acquired and liabilities assumed in accordance with ASC 805-30-25-4 and concluded that all acquired assets and assumed liabilities were recognized and that the valuation procedures and resulting measures were appropriate. Gain on bargain purchase primarily relates to the market value of ACELYRIN’s common stock trading below the carrying value of net assets and the Exchange Ratio being fixed at the time the Merger Agreement was signed and not adjusted for subsequent changes in the market price of the Company’s common stock. Gain on bargain purchase was recognized as other income in the consolidated statements of operations and comprehensive loss for the year ended December 31, 2025. The Company recognized a deferred tax liability of $10.7 million related to the acquired IPR&amp;D intangible asset as of the Closing Date.</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also has additional severance related obligations under the Merger Agreement that are separate from the assets and liabilities acquired. In accordance with the ACELYRIN severance plan, ACELYRIN employees terminated without cause within 12 months of the Closing Date are entitled to receive severance benefits, including acceleration of their outstanding equity awards and extension of their outstanding stock options exercise periods of up to 12 months post-termination. The Company estimated total cash severance obligation, including related taxes, of $11.9 million, which it expected to pay within 12 months from the Closing Date based on agreed termination dates with employees. Severance obligation was recorded to expense over the remaining employment period for notified employees. The Company recognized $6.5 million as general and administrative expenses and $5.4 million as research and development expenses related to severance expenses during the year ended December 31, 2025. The Company substantially paid in full the severance liability by December 31, 2025. The Company estimated stock-based compensation expense of $13.1 million related to the accelerated vesting and exercise term modification for severed employees, which was fully recognized during the year ended December 31, 2025. The Company recognized ACELYRIN Merger transaction costs of $7.7 million in</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condensed consolidated statements of operations and comprehensive loss for the three months ended March 31, 2025.</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Following the Closing Date, the operating results of ACELYRIN have been included in the Company’s consolidated financial statements.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ACELYRIN Merger is intended to be a reorganization under Internal Revenue Code of 1986, as amended (the “Internal Revenue Code”) Section 368(a). The Merger Agreement outlines the “plan of reorganization” within the meaning of the regulations issued under Internal Revenue Code Section 368(a) and the ACELYRIN Merger is intended to qualify as a tax-free reorganization for U.S. federal and state income tax purposes.</w:t>
      </w:r>
    </w:p>
    <w:p>
      <w:pPr>
        <w:spacing w:after="0" w:line="176" w:lineRule="exact"/>
        <w:rPr>
          <w:sz w:val="20"/>
          <w:szCs w:val="20"/>
          <w:color w:val="auto"/>
        </w:rPr>
      </w:pPr>
    </w:p>
    <w:p>
      <w:pPr>
        <w:ind w:left="380" w:hanging="330"/>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discloses and recognizes the fair value of its assets and liabilities using a hierarchy that prioritizes the inputs to valuation techniques used to measure fair value. The guidance establishes three levels of the fair value hierarchy as follows: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 The Company recognizes transfers into and out of levels within the fair value hierarchy in the period in which the actual event or change in circumstances that caused the transfer occurs.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Level 1 and Level 2 financial instruments. Changes in the ability to observe valuation inputs may result in a reclassification of levels of certain securities within the fair value hierarchy.</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Level 1 financial instruments are comprised of money market funds and U.S. Treasury obligations. Level 2 financial instruments are comprised of U.S. Treasury obligations, corporate debt obligations, commercial paper, supranational debt obligations and government development bank obligations. Marketable securities are considered Level 2 when their fair values are determined using inputs that are observable in the market or can be derived principally from or corroborated by observable market data such as pricing for similar securities, recently executed transactions, cash flow models with yield curves, and benchmark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financial assets measured at fair value on a recurring basis as of March 31, 2026 and December 31, 2025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9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8"/>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42"/>
        </w:trPr>
        <w:tc>
          <w:tcPr>
            <w:tcW w:w="402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top w:val="single" w:sz="8" w:color="auto"/>
            </w:tcBorders>
            <w:gridSpan w:val="3"/>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Borders>
              <w:top w:val="single" w:sz="8" w:color="auto"/>
            </w:tcBorders>
            <w:gridSpan w:val="4"/>
          </w:tcPr>
          <w:p>
            <w:pPr>
              <w:jc w:val="right"/>
              <w:ind w:right="116"/>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Borders>
              <w:top w:val="single" w:sz="8" w:color="auto"/>
            </w:tcBorders>
            <w:gridSpan w:val="4"/>
          </w:tcPr>
          <w:p>
            <w:pPr>
              <w:jc w:val="right"/>
              <w:ind w:right="17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4"/>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58,736</w:t>
            </w:r>
          </w:p>
        </w:tc>
        <w:tc>
          <w:tcPr>
            <w:tcW w:w="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3"/>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58,736</w:t>
            </w: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 current</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101,590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308,831</w:t>
            </w: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85,849</w:t>
            </w: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52,402</w:t>
            </w: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Supranational debt obligations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w:t>
            </w: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 development bank obligations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 non-current</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w:t>
            </w: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w:t>
            </w:r>
          </w:p>
        </w:tc>
      </w:tr>
      <w:tr>
        <w:trPr>
          <w:trHeight w:val="210"/>
        </w:trPr>
        <w:tc>
          <w:tcPr>
            <w:tcW w:w="40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564,397</w:t>
            </w: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58"/>
        </w:trPr>
        <w:tc>
          <w:tcPr>
            <w:tcW w:w="4020" w:type="dxa"/>
            <w:vAlign w:val="bottom"/>
          </w:tcPr>
          <w:p>
            <w:pPr>
              <w:spacing w:after="0"/>
              <w:rPr>
                <w:sz w:val="24"/>
                <w:szCs w:val="24"/>
                <w:color w:val="auto"/>
              </w:rPr>
            </w:pPr>
          </w:p>
        </w:tc>
        <w:tc>
          <w:tcPr>
            <w:tcW w:w="98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8"/>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42"/>
        </w:trPr>
        <w:tc>
          <w:tcPr>
            <w:tcW w:w="4020" w:type="dxa"/>
            <w:vAlign w:val="bottom"/>
          </w:tcPr>
          <w:p>
            <w:pPr>
              <w:spacing w:after="0"/>
              <w:rPr>
                <w:sz w:val="12"/>
                <w:szCs w:val="12"/>
                <w:color w:val="auto"/>
              </w:rPr>
            </w:pPr>
          </w:p>
        </w:tc>
        <w:tc>
          <w:tcPr>
            <w:tcW w:w="88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top w:val="single" w:sz="8" w:color="auto"/>
            </w:tcBorders>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3"/>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16"/>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9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81,729</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81,729</w:t>
            </w: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r>
      <w:tr>
        <w:trPr>
          <w:trHeight w:val="216"/>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 current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110,809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148,482</w:t>
            </w: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30,743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30,743</w:t>
            </w:r>
          </w:p>
        </w:tc>
      </w:tr>
      <w:tr>
        <w:trPr>
          <w:trHeight w:val="216"/>
        </w:trPr>
        <w:tc>
          <w:tcPr>
            <w:tcW w:w="4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27,672</w:t>
            </w:r>
          </w:p>
        </w:tc>
      </w:tr>
      <w:tr>
        <w:trPr>
          <w:trHeight w:val="216"/>
        </w:trPr>
        <w:tc>
          <w:tcPr>
            <w:tcW w:w="4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Supranational debt obligations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r>
      <w:tr>
        <w:trPr>
          <w:trHeight w:val="216"/>
        </w:trPr>
        <w:tc>
          <w:tcPr>
            <w:tcW w:w="4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Government development bank obligations</w:t>
            </w:r>
          </w:p>
        </w:tc>
        <w:tc>
          <w:tcPr>
            <w:tcW w:w="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w:t>
            </w:r>
          </w:p>
        </w:tc>
      </w:tr>
      <w:tr>
        <w:trPr>
          <w:trHeight w:val="210"/>
        </w:trPr>
        <w:tc>
          <w:tcPr>
            <w:tcW w:w="4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880" w:type="dxa"/>
            <w:vAlign w:val="bottom"/>
            <w:tcBorders>
              <w:bottom w:val="single" w:sz="8" w:color="CCEEFF"/>
            </w:tcBorders>
            <w:gridSpan w:val="3"/>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196,509</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108,022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304,531</w:t>
            </w:r>
          </w:p>
        </w:tc>
      </w:tr>
      <w:tr>
        <w:trPr>
          <w:trHeight w:val="20"/>
        </w:trPr>
        <w:tc>
          <w:tcPr>
            <w:tcW w:w="4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did not hold Level 3 financial instruments and there were no transfers between Level 1 and Level 2 categories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5"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Marketable securities, which are classified as available-for-sale, consisted of the following as of March 31, 2026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00" w:type="dxa"/>
            <w:vAlign w:val="bottom"/>
            <w:gridSpan w:val="9"/>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current:</w:t>
            </w:r>
          </w:p>
        </w:tc>
        <w:tc>
          <w:tcPr>
            <w:tcW w:w="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2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309,024</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308,831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85,849</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Supranational debt obligations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development bank obligations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 current</w:t>
            </w:r>
          </w:p>
        </w:tc>
        <w:tc>
          <w:tcPr>
            <w:tcW w:w="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459,413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459,058</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non-current:</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obligations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 non-current</w:t>
            </w:r>
          </w:p>
        </w:tc>
        <w:tc>
          <w:tcPr>
            <w:tcW w:w="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46,603</w:t>
            </w:r>
          </w:p>
        </w:tc>
        <w:tc>
          <w:tcPr>
            <w:tcW w:w="0" w:type="dxa"/>
            <w:vAlign w:val="bottom"/>
          </w:tcPr>
          <w:p>
            <w:pPr>
              <w:spacing w:after="0"/>
              <w:rPr>
                <w:sz w:val="1"/>
                <w:szCs w:val="1"/>
                <w:color w:val="auto"/>
              </w:rPr>
            </w:pPr>
          </w:p>
        </w:tc>
      </w:tr>
      <w:tr>
        <w:trPr>
          <w:trHeight w:val="210"/>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506,128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505,661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102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9"/>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5"/>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 current:</w:t>
            </w:r>
          </w:p>
        </w:tc>
        <w:tc>
          <w:tcPr>
            <w:tcW w:w="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2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148,352</w:t>
            </w:r>
          </w:p>
        </w:tc>
        <w:tc>
          <w:tcPr>
            <w:tcW w:w="2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148,481</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obligations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30,744</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Supranational debt obligations</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 development bank obligations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218,831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Marketable securities classified as current as of March 31, 2026 and December 31, 2025 had contractual maturities of one year or less from the purchase date. Marketable securities classified as non-current as of March 31, 2026 had contractual maturities of greater than one year but less than two years.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no significant facts or circumstances were present to indicate a deterioration in the creditworthiness of the issuers of the marketable securities, and the Company has no requirement or intention to sell these securities before maturity or recovery of their amortized cost basis. The Company considered the current and expected future economic and market conditions and determined that its marketable securities were not significantly impacted. For all marketable securities with a fair value less than its amortized cost basis, the Company determined the decline in fair value below amortized cost basis to be immaterial and non-credit related, and therefore no allowance for expected credit losses was recorded for the three months ended March 31, 2026 and 2025.</w:t>
      </w:r>
    </w:p>
    <w:p>
      <w:pPr>
        <w:spacing w:after="0" w:line="185" w:lineRule="exact"/>
        <w:rPr>
          <w:sz w:val="20"/>
          <w:szCs w:val="20"/>
          <w:color w:val="auto"/>
        </w:rPr>
      </w:pPr>
    </w:p>
    <w:p>
      <w:pPr>
        <w:ind w:left="380" w:hanging="330"/>
        <w:spacing w:after="0"/>
        <w:tabs>
          <w:tab w:leader="none" w:pos="380" w:val="left"/>
        </w:tabs>
        <w:numPr>
          <w:ilvl w:val="0"/>
          <w:numId w:val="1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Balance Sheet Components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31F20"/>
        </w:rPr>
        <w:t>Restricted Cash</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Restricted cash includes cash held at financial institutions that is pledged as collateral for stand-by letters of credit of $1.4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million and $1.3 million related to lease commitments as of March 31, 2026 and December 31, 2025, respectively. The cash will be restricted until the termination or modification of the related lease agreements. Restricted cash of $0.1 million was classified as restricted cash, current and $1.3 million was classified as restricted cash, non-current in the condensed consolidated balance sheet as of March 31, 2026. Restricted cash of $1.3 million was classified as restricted cash, non-current in the condensed consolidated balance sheet as of December 31,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31F20"/>
        </w:rPr>
        <w:t>Other Prepaid Expenses and Current Assets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231F20"/>
        </w:rPr>
        <w:t>Other prepaid expenses and current assets consisted of the following as of March 31, 2026 and December 31, 2025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820" w:type="dxa"/>
            <w:vAlign w:val="bottom"/>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99"/>
        </w:trPr>
        <w:tc>
          <w:tcPr>
            <w:tcW w:w="68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subscriptions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receivable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credit voucher for clinical manufacturing</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10"/>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prepaid expenses and current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prepaid credit voucher for clinical manufacturing was received by ACELYRIN in the third quarter of 2024 as part of an agreement to cancel certain services with a vendor under a manufacturing agreement related to the suspension of development of certain ACELYRIN programs. The prepaid credit voucher for clinical manufacturing may be used to settle invoices for services and raw materials from this vendor related to the lonigutamab product candidate. As of March 31, 2026, the prepaid credit voucher for clinical manufacturing included $0.3 million classified in other prepaid expenses and current assets and $5.8 million included in other assets, non-current.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Property and equipment, net consisted of the following </w:t>
      </w:r>
      <w:r>
        <w:rPr>
          <w:rFonts w:ascii="Times New Roman" w:cs="Times New Roman" w:eastAsia="Times New Roman" w:hAnsi="Times New Roman"/>
          <w:sz w:val="18"/>
          <w:szCs w:val="18"/>
          <w:color w:val="231F20"/>
        </w:rPr>
        <w:t>as of March 31, 2026 and December 31, 2025</w:t>
      </w:r>
      <w:r>
        <w:rPr>
          <w:rFonts w:ascii="Times New Roman" w:cs="Times New Roman" w:eastAsia="Times New Roman" w:hAnsi="Times New Roman"/>
          <w:sz w:val="18"/>
          <w:szCs w:val="18"/>
          <w:color w:val="auto"/>
        </w:rPr>
        <w:t xml:space="preserve">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9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40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Shorter of useful</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34"/>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0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life or lease term</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1940" w:type="dxa"/>
            <w:vAlign w:val="bottom"/>
            <w:gridSpan w:val="2"/>
          </w:tcPr>
          <w:p>
            <w:pPr>
              <w:jc w:val="center"/>
              <w:ind w:left="514"/>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940" w:type="dxa"/>
            <w:vAlign w:val="bottom"/>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940" w:type="dxa"/>
            <w:vAlign w:val="bottom"/>
            <w:gridSpan w:val="2"/>
          </w:tcPr>
          <w:p>
            <w:pPr>
              <w:jc w:val="center"/>
              <w:ind w:left="514"/>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940" w:type="dxa"/>
            <w:vAlign w:val="bottom"/>
            <w:gridSpan w:val="2"/>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4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6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26,393</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26,178</w:t>
            </w:r>
          </w:p>
        </w:tc>
      </w:tr>
      <w:tr>
        <w:trPr>
          <w:trHeight w:val="20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r>
      <w:tr>
        <w:trPr>
          <w:trHeight w:val="210"/>
        </w:trPr>
        <w:tc>
          <w:tcPr>
            <w:tcW w:w="4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18,190</w:t>
            </w:r>
          </w:p>
        </w:tc>
      </w:tr>
      <w:tr>
        <w:trPr>
          <w:trHeight w:val="20"/>
        </w:trPr>
        <w:tc>
          <w:tcPr>
            <w:tcW w:w="4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$0.9 million and $0.8 million for the three months ended March 31, 2026 and 2025,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Accrued Expenses and Current Liabilities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231F20"/>
        </w:rPr>
        <w:t>Other accrued expenses and current liabilities consisted of the following as of March 31, 2026 and December 31, 2025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8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personnel and related expenses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w:t>
            </w: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liability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09"/>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22,303</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Kaken Collaboration Agreement</w:t>
      </w:r>
    </w:p>
    <w:p>
      <w:pPr>
        <w:spacing w:after="0" w:line="229"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On March 25, 2025 (the “Effective Date”), the Company entered into the Kaken Collaboration Agreement. Under the terms of the Kaken Collaboration Agreement, the Company granted to Kaken an exclusive right to develop, manufacture and commercialize envu for dermatology indications in Japan, with options to expand the license, subject to opt-in payments and certain cost-sharing obligations on the part of Kaken, to include rheumatological and gastrointestinal diseases.</w:t>
      </w:r>
    </w:p>
    <w:p>
      <w:pPr>
        <w:spacing w:after="0" w:line="16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 terms of the Kaken Collaboration Agreement, the Company is responsible for the global development of envu in the dermatology field, and Kaken is responsible for the clinical development, regulatory approvals and commercialization of envu in Japan in dermatology and other indications for which Kaken has exercised its option. Kaken is required to use commercially reasonable efforts to conduct all subsequent development, manufacture, and commercialization activities. The Kaken Collaboration Agreement further provides that the Company will retain rights to envu in all other indications and geographies.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March 2025, Kaken made an upfront, non-refundable payment of $20.0 million to the Company. In addition, Kaken will pay the Company an aggregate of $20.0 million towards global development costs for envu in the dermatology field through the end of 2026 and thereafter will pay a specified share of development costs applicable to the dermatology field, and for any field for which Kaken exercises its option, subject to Kaken's right to opt out of cost-sharing in certain indications in specified circumstances. In addition, Kaken would pay the Company up to an aggregate of $36.0 million upon the achievement of regulatory milestones and upon Kaken’s exercise of its field expansion options for the rheumatology and gastrointestinal fields. In addition, the Company is entitled to receive aggregate payments of up to ¥15.5 billion upon the achievement of commercial milestones, plus tiered royalties at percentages ranging from the low double digits into the twenties on aggregate net sales of envu in Japan.</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evaluated the Kaken Collaboration Agreement and concluded it was within the scope of ASC 606. As of the Effective Date, the Company identified four performance obligations: (1) license to develop, manufacture and commercialize envu (the “License Obligation”), (2) development services that support the global development of envu (the “Development Services Obligation”), (3) the manufacture of the clinical supply in Japan (the “Manufacturing Services Obligation”) and (4) a material right related to the option for rheumatology disease (the “Material Right Obligation”). The License Obligation was considered functional intellectual property and distinct from other promises under the contract, as Kaken can benefit from the license on its own or together with other readily available resources. The Development Services Obligation and Manufacturing Services Obligation were considered distinct as Kaken could benefit from both of these separately with the license transferred by the Company at the inception of the agreement. The option in the rheumatology field contained a material right because its exercise does not require payment of a fee that is commensurate with the value of the additional license. No material right was assigned to the gastrointestinal field since its estimated fair value did not</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exceed the exercise price of the option.</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transaction price includes the upfront license fee of $20.0 million, the global development cost reimbursement of $20.0 million in the dermatology field through the end of 2026, the estimated global development cost reimbursement in the dermatology field after 2026 of $1.5 million and an immaterial amount of variable consideration related to the Manufacturing Services Obligation. The Company determined that any variable consideration related to development and regulatory milestones was deemed to be fully constrained at inception and therefore excluded from the initial transaction price due to the high degree of uncertainty and risk associated with these potential payments, and the Company could not assert that it was probable that a significant reversal in the amount of cumulative revenue recognized would not occur.</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developed the estimated standalone selling prices for the License Obligation and Material Right Obligation primarily based on the probability-weighted value of expected future revenues associated with each underlying license. In developing such estimates, the Company applied judgment in determining the forecasted revenue, taking into consideration the applicable market conditions, the probability of success, and the time needed to develop each indication for which the license relates. The Company developed the estimated standalone selling price for the development services and clinical supply primarily based on the resources to be committed to perform the service.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At inception of the contract, the Company allocated $17.4 million to the License Obligation, $20.8 million to the Development Services Obligation, $3.3 million to the Material Right Obligation and an immaterial amount to the Manufacturing Services Obligation. The License Obligation was satisfied in March 2025 upon transfer of the license to Kaken. For the Development Services Obligation, the Company recognizes revenue over time as Kaken consumes the benefit of such services as they are being performed. The Company measures proportional performance over time for the Development Services Obligation by using an input method based on cost incurred relative to the total estimated cost of the obligation on a quarterly basis. The Company re-evaluates the transaction price as uncertain events are resolved or other changes in circumstances occur as of the end of each reporting period.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 recognized revenue of zero and $17.4 million for the three months ended March 31, 2026 and 2025, respectively, related to the License Obligation and $1.7 million and zero for the three months ended March 31, 2026 and 2025, respectively, related to the Development Services Obligation and Manufacturing Services Obligation. As of March 31, 2026, collaboration revenue receivable was less than $1 thousand, deferred revenue, current was $6.3 million and deferred revenue, non-current was zero. As of December 31, 2025, collaboration revenue receivable was less than $0.1 million, deferred revenue, current was $1.5 million and deferred revenue, non-current was $2.6 million. Revenue recognized during the period that was included in deferred revenue at the beginning of the period was $1.5 million and zero for the three months ended March 31, 2026 and 2025, respectively. The aggregate estimated amount of transaction price that was unsatisfied as of March 31, 2026 was $15.8 million, of which, $12.5 million related to the Development Services Obligation that is expected to be recognized through 2028 as the Company performs its services towards the global development of envu in the dermatology field. The remaining $3.3 million estimated amount of transaction price that was unsatisfied as of March 31, 2026 related to the Material Right Obligation and is deferred until the option is exercised or expires.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Tenet Medicines Purchase Agreement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January 2024, ACELYRIN entered into an asset purchase agreement (“Purchase Agreement”) with Tenet Medicines, Inc. (“Tenet”). In consideration for the assets and other rights Tenet received under the Purchase Agreement, ACELYRIN is entitled to receive development, regulatory and commercial milestone payments of up to $157.5 million in the aggregate based on the achievement of specified milestones, royalties on worldwide net sales, and payments on sublicense income. On December 31, 2025, Climb Bio, Inc. (“Climb Bio”), the parent company of Tenet, filed a complaint in Delaware Superior Court seeking a declaratory judgment that budoprutug is not a “Product” under the Purchase Agreement, and therefore Climb Bio does not owe milestone or royalty payments to the Company under the Purchase Agreement. In January 2026, the Company issued a notice of material breach to Climb Bio for failing to timely pay a $3.0 million development milestone. The Company disputes Climb Bio’s interpretation and intends to seek recovery of the $3.0 million</w:t>
      </w:r>
    </w:p>
    <w:p>
      <w:pPr>
        <w:sectPr>
          <w:pgSz w:w="11900" w:h="16838" w:orient="portrait"/>
          <w:cols w:equalWidth="0" w:num="1">
            <w:col w:w="9019"/>
          </w:cols>
          <w:pgMar w:left="1440" w:top="500"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development milestone, as well as any other future milestone or royalty payments, through litigation. The matter remains pending.</w:t>
      </w:r>
    </w:p>
    <w:p>
      <w:pPr>
        <w:spacing w:after="0" w:line="158" w:lineRule="exact"/>
        <w:rPr>
          <w:sz w:val="20"/>
          <w:szCs w:val="20"/>
          <w:color w:val="auto"/>
        </w:rPr>
      </w:pPr>
    </w:p>
    <w:p>
      <w:pPr>
        <w:ind w:left="380" w:hanging="330"/>
        <w:spacing w:after="0"/>
        <w:tabs>
          <w:tab w:leader="none" w:pos="3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Foresite Labs Services Agreement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Foresite Labs, LLC (“Foresite Labs”) is an affiliate of Foresite Capital Management, a stockholder of the Company. In January 2021, the Company entered into a services agreement with Foresite Labs, which was amended and restated in August 2021 and in December 2023, and expires in December 2026, unless terminated earlier by the parties. Thereafter, on each anniversary of the effective date, the agreement will automatically renew for an additional one-year term, unless terminated earlier by the parties. Foresite Labs provides services to assist the Company in exploring specified immunology genetic targets. The Company recognized $0.1 million and $0.3 million as research and development expenses under the services agreement for the three months ended March 31, 2026 and 2025, respectively. There were no accrued expenses under the services agreement as of March 31, 2026 or December 31, 2025.</w:t>
      </w:r>
    </w:p>
    <w:p>
      <w:pPr>
        <w:spacing w:after="0" w:line="188"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Contingent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August 2022, the Company entered into a lease agreement for 55,000 square feet of office and laboratory space in South San Francisco, California, which commenced in January 2023 and has a contractual termination date in August 2033. The lease agreement includes a renewal option allowing the Company to extend this lease for an additional three years at the prevailing rental rate, which the Company was not reasonably certain to exercise.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December 2024, the Company entered into a lease agreement for approximately 22,000 square feet of additional office space in South San Francisco, California. The lease has a contractual termination date of December 2026, with the right to extend the lease for an additional two years subject to certain conditions. The Company determined that, for accounting purposes, the commencement date of the lease is in January 2025 and the lease term ends in December 2026, as it was not reasonably certain that the lease would be extended. As of the commencement date, future lease payments totaled $1.9 million and the lease liability was calculated to be $1.8 million, which is equal to the present value of the future lease payments, discounted at an incremental borrowing rate of 7.9%. In April 2026, the Company entered into an amended agreement to extend the lease for an additional two years ending in December 2028, with undiscounted lease payments totaling $2.1 million over this period. The amended agreement has an option to extend the lease for an additional two years subject to certain conditions.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Upon the closing of the ACELYRIN Merger, the Company became the successor to ACELYRIN’s rights under ACELYRIN’s lease and sublease agreements. In January 2023, ACELYRIN entered into a lease agreement to rent approximately 10,012 square feet of office space in Southern California. The term of the lease is 65 months with an option to extend it for an additional three years. Monthly rent payments are approximately $30,500, subject to an annual 3.0% increase. In addition to the base rent, the Company is obligated to pay variable costs related to its share of operating expenses and taxes. In December 2025, the Company entered into an agreement to sublease the entirety of its Southern California leased space through August 24, 2028, the remainder of the lease term. The sublease included the operating lease right-of-use asset and certain property, plant and equipment. Sublease income was immaterial for the three months ended March 31, 2026. In April 2026, the Company delivered a notice of termination to the sublessee, and the sublease was legally terminated in April 2026.</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July 2023, ACELYRIN entered into a lease agreement to rent approximately 22,365 square feet of office space in South San Francisco, California. The term of the lease is 60 months with an option to extend it for an additional five years. Monthly base rent payments are approximately $150,000, subject to an annual 3.5% increase. In addition to the base rent, the Company is obligated to pay variable costs related to its share of operating expenses and taxes. In February 2025,</w:t>
      </w:r>
    </w:p>
    <w:p>
      <w:pPr>
        <w:sectPr>
          <w:pgSz w:w="11900" w:h="16838" w:orient="portrait"/>
          <w:cols w:equalWidth="0" w:num="1">
            <w:col w:w="9019"/>
          </w:cols>
          <w:pgMar w:left="1440" w:top="500"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ACELYRIN entered into an agreement to sublease the entirety of its South San Francisco leased space through October 2029, the remainder of the lease term. The sublease included the operating lease right-of-use asset and certain property, plant and equipment. Sublease income was immaterial for the three months ended March 31,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components of lease costs were as follows (in thousands):</w:t>
      </w:r>
    </w:p>
    <w:p>
      <w:pPr>
        <w:spacing w:after="0" w:line="23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4"/>
          <w:szCs w:val="14"/>
          <w:b w:val="1"/>
          <w:bCs w:val="1"/>
          <w:color w:val="auto"/>
        </w:rPr>
        <w:t>​​​ Three Months Ended March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820" w:type="dxa"/>
            <w:vAlign w:val="bottom"/>
          </w:tcPr>
          <w:p>
            <w:pPr>
              <w:ind w:left="67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0"/>
        </w:trPr>
        <w:tc>
          <w:tcPr>
            <w:tcW w:w="6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Supplemental cash flow information related to the operating leases was as follows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included in the measurement of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w:t>
            </w:r>
          </w:p>
        </w:tc>
      </w:tr>
    </w:tbl>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and incremental borrowing rate for the operating leases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vMerge w:val="restart"/>
          </w:tcPr>
          <w:p>
            <w:pPr>
              <w:ind w:left="67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6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incremental borrowing rate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of March 31, 2026, were as detailed below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7,648</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16,009</w:t>
            </w: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50,725</w:t>
            </w: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(15,061)</w:t>
            </w:r>
          </w:p>
        </w:tc>
      </w:tr>
      <w:tr>
        <w:trPr>
          <w:trHeight w:val="21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35,664</w:t>
            </w:r>
          </w:p>
        </w:tc>
      </w:tr>
      <w:tr>
        <w:trPr>
          <w:trHeight w:val="20"/>
        </w:trPr>
        <w:tc>
          <w:tcPr>
            <w:tcW w:w="7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FronThera Contingent Consideration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March 2021, the Company entered into a stock purchase agreement to acquire FronThera U.S. Holdings, Inc. and its wholly owned subsidiary, FronThera U.S. Pharmaceuticals LLC. (the “FronThera Acquisition”), and the transaction was accounted for as an asset acquisition. Under the stock purchase agreement, the Company is obligated to pay contingent consideration of up to an aggregate of $120.0 million based on the achievement of specified clinical and approval milestones, including receipt of first commercialization approval in the United States or certain other jurisdictions, of up to an aggregate of $70.0 million payable for clinical milestones, and of up to an aggregate of $50.0 million payable for approval milestones, all related to technology acquired under the agreement. In the year ended December 31, 2022, the Company incurred and made a $37.0 million milestone payment for the first administration of envu to a patient enrolled in a Phase 2 clinical trial of envu, which was recorded in research and development expenses in the consolidated statement of operations and comprehensive loss. In July 2024, the Company met a milestone in connection with the first administration of envu to a patient enrolled in a Phase 3 clinical trial of envu and made a $23.0 million milestone payment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August 2024, which was recorded in research and development expenses in the consolidated statement of operations and comprehensive loss for the year ended December 31, 2024. No additional milestones were achieved or were probable of being achieved as of March 31,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and Commercialization Agreement with Pierre Fabre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Upon the closing of the ACELYRIN Merger, the Company became the successor to ACELYRIN’s rights and obligations under the March 25, 2021 license and commercialization agreement with Pierre Fabre Medicament SAS (“Pierre Fabre”), as amended (the “Pierre Fabre Agreement”), through which ACELYRIN received certain exclusive worldwide licenses with the right to sublicense certain patents, know-how and other intellectual property to develop, manufacture, use and commercialize lonigutamab for non-oncology therapeutic indications. The license from Pierre Fabre extends to any product containing lonigutamab (excluding any fragments or derivatives) as its sole active ingredient (each, a “PF Licensed Product”). The Pierre Fabre Agreement prohibits the Company from using the licensed intellectual property in any antibody drug conjugate, multi-specific antibodies or any other derivatives of lonigutamab.</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obligated to (i) make payments of up to $100.5 million upon the achievement of various development and regulatory milestones, (ii) make milestone payments of up to $390.0 million upon the achievement of certain commercial milestones, and (iii) pay tiered royalties in the high single-digit to low-teen percentages to Pierre Fabre on worldwide net sales in a given calendar year. Royalties will be payable for each PF Licensed Product in a given country during a period commencing upon the first commercial sale of such PF Licensed Product in such country and continuing until the latest of</w:t>
      </w:r>
    </w:p>
    <w:p>
      <w:pPr>
        <w:spacing w:after="0" w:line="3" w:lineRule="exact"/>
        <w:rPr>
          <w:sz w:val="20"/>
          <w:szCs w:val="20"/>
          <w:color w:val="auto"/>
        </w:rPr>
      </w:pPr>
    </w:p>
    <w:p>
      <w:pPr>
        <w:jc w:val="both"/>
        <w:ind w:left="60" w:right="59" w:hanging="10"/>
        <w:spacing w:after="0" w:line="252" w:lineRule="auto"/>
        <w:tabs>
          <w:tab w:leader="none" w:pos="30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after such first commercial sale, (b) expiration of last-to-expire valid claim in a licensed patent in such country and (c) expiration of regulatory exclusivity for such PF Licensed Product in such country. In the event the Company enters into a sublicense with a third party, the Company must also share with Pierre Fabre a percentage of any revenues from option fees, upfront payments, license maintenance fees, milestone payments or the like generated from the sublicense. Such percentage may be between the high single-digits to the low thirties based on which stage of development of a PF Licensed Product the sublicense relates to.</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Unless earlier terminated, the Pierre Fabre Agreement will continue on a PF Licensed Product-by-PF Licensed Product and country-by-country basis until there are no more royalty payments owed to Pierre Fabre on any PF Licensed Product thereunder. Either party may terminate the Pierre Fabre Agreement upon an uncured material breach, or upon the bankruptcy or insolvency of the other party. Pierre Fabre may also terminate the agreement if the Company or any of its affiliates institutes a patent challenge against the licensed patents from Pierre Fabre. The Company may also terminate the Pierre Fabre Agreement with or without cause upon nine months’ prior written notice, so long as there is no ongoing clinical trial for any PF Licensed Product.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milestones were achieved or were probable of being achieved as of March 31, 2026.</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Company enters into various agreements in the ordinary course of business, such as those with suppliers, clinical research organizations </w:t>
      </w:r>
      <w:r>
        <w:rPr>
          <w:rFonts w:ascii="Times New Roman" w:cs="Times New Roman" w:eastAsia="Times New Roman" w:hAnsi="Times New Roman"/>
          <w:sz w:val="18"/>
          <w:szCs w:val="18"/>
          <w:color w:val="231F20"/>
        </w:rPr>
        <w:t>(“CROs”)</w:t>
      </w:r>
      <w:r>
        <w:rPr>
          <w:rFonts w:ascii="Times New Roman" w:cs="Times New Roman" w:eastAsia="Times New Roman" w:hAnsi="Times New Roman"/>
          <w:sz w:val="18"/>
          <w:szCs w:val="18"/>
          <w:color w:val="auto"/>
        </w:rPr>
        <w:t>, contract manufacturing organizations (“CMOs”) and clinical trial sites. Upon the closing of the ACELYRIN Merger, the Company became the successor to contracts with non-cancellable commitments under ACELYRIN contracts. The total value of non-cancellable purchase commitments under contracts was $1.5 million as of March 31, 2026. This presentation of non-cancellable purchase commitments does not include any estimates of potential reduction of such liabilities related to mitigation obligations of the counterparties in the event of cancellation under the terms of its engagements.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and may become involved in legal proceedings arising in the ordinary course of business, any or all of which could have a material adverse impact on the Company, including its financial position. The</w:t>
      </w:r>
    </w:p>
    <w:p>
      <w:pPr>
        <w:sectPr>
          <w:pgSz w:w="11900" w:h="16838" w:orient="portrait"/>
          <w:cols w:equalWidth="0" w:num="1">
            <w:col w:w="9019"/>
          </w:cols>
          <w:pgMar w:left="1440" w:top="500"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outcomes of legal proceedings are not within the Company’s complete control and may not be known for prolonged periods of time. The Company records a liability for such matters when it is probable that future losses will be incurred and that such losses can be reasonably estimated. Significant judgment by the Company is required to determine both probability and the estimated amount. Legal costs related to these matters, including attorney fees, are expensed as incurred and are recorded as general and administrative expenses in the consolidated statements of operations and comprehensive loss.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November 15, 2023, a purported federal securities class action lawsuit was commenced in the United States District Court for the Central District of California. On February 15, 2024, the Court appointed joint lead plaintiffs and lead counsel. An amended complaint was filed on March 26, 2024 (Boukadoum v. Acelyrin, Inc. et al., No. 2:23-cv-09672-FMO-MAA), naming ACELYRIN and then-current and former executive officers and directors as defendants. The complaint alleges that the defendants violated the Exchange Act and Securities Act by misleading investors about the Phase 2b trial of izokibep in hidradenitis suppurativa. The original complaint was filed following ACELYRIN’s announcement of the week 16 results from the Part B portion of such Phase 2b trial. The amended complaint seeks damages and an award of reasonable costs and expenses, including attorneys’ fees, expert fees and other costs, as well as such other and further relief as the court may deem just and proper. On May 3, 2024, the defendants filed their motion to dismiss the amended complaint, which was granted by the court, with leave to amend, in January 2026. On February 5, 2026, the plaintiffs filed a second amended complaint, which seeks damages and an award of reasonable costs and expenses, as well as such other and further relief as the court may deem just and proper. On February 19, 2026, the defendants filed their motion to dismiss the second amended complaint, which remains pending.</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It is possible that additional suits will be filed, or allegations made by stockholders, with respect to these same or other matters and also naming the Company and/or its officers and directors as defendants. This lawsuit and any other potential lawsuits are subject to inherent uncertainties, and the actual defense and disposition costs will depend upon many unknown factors. The outcome of this lawsuit is necessarily uncertain. The Company could be forced to expend significant resources in the defense against this and any other related lawsuits and the Company may not prevail. The Company currently is not able to estimate the possible loss to the Company from this lawsuit, as this lawsuit is currently at an early stage, and such amounts could be material to the Company’s financial statements even if the Company prevails in the defense against this lawsuit. The Company cannot be certain how long it may take to resolve this lawsuit or the possible amount of any damages that the Company may be required to pay. As of March 31, 2026, the Company did not consider any payment to be probable or reasonably estimable and had not accrued for any potential liability relating to this lawsuit.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in such capacity. To date, the Company has not paid any claims or been required to defend any action related to its indemnification obligations. As of March 31, 2026 and December 31, 2025, the Company did not have any material indemnification claims that were probable or reasonably possible and consequently has not recorded related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2026, the Company was authorized to issue up to 50,000,000 shares of preferred stock, 492,815,092 shares of voting common stock and 7,184,908 shares of non-voting common stock, all with par values of $0.0001 per share. As of March 31, 2026, there were no shares of preferred stock issued or outstanding, 123,169,838 shares of voting common stock issued and outstanding and 4,059,908 shares of non-voting common stock issued and outstanding.</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holders of voting and non-voting common stock have the same rights except that non-voting common stock does not have voting rights, except as may be required by law. Each holder of non-voting common stock has a right to convert each share of non-voting common stock to one share of voting common stock subject to the following limitations. At any time</w:t>
      </w:r>
    </w:p>
    <w:p>
      <w:pPr>
        <w:sectPr>
          <w:pgSz w:w="11900" w:h="16838" w:orient="portrait"/>
          <w:cols w:equalWidth="0" w:num="1">
            <w:col w:w="9019"/>
          </w:cols>
          <w:pgMar w:left="1440" w:top="500"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following the Company’s registration of any class of equity securities under the Exchange Act, the holders of shares of non-voting common stock may not convert a number of shares of non-voting common stock into shares of voting common stock in excess of that number of shares of non-voting common stock which would cause the holder thereof to beneficially own (for purposes of Section 13(d) of the Exchange Act), in excess of 4.99% of the total number of issued and outstanding shares of voting common stock. Such maximum percentage may be increased or decreased to such other percentage as any holder of outstanding shares of non-voting common stock may designate in writing (in the case of an increase upon 61 days’ prior written notice).</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Common stock reserved for issuance consisted of the following as of March 31, 2026 and December 31, 2025: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60" w:type="dxa"/>
            <w:vAlign w:val="bottom"/>
            <w:gridSpan w:val="2"/>
          </w:tcPr>
          <w:p>
            <w:pPr>
              <w:ind w:left="68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22,519,214</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20,353,098</w:t>
            </w:r>
          </w:p>
        </w:tc>
      </w:tr>
      <w:tr>
        <w:trPr>
          <w:trHeight w:val="21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3,280,326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2,527,377</w:t>
            </w:r>
          </w:p>
        </w:tc>
      </w:tr>
      <w:tr>
        <w:trPr>
          <w:trHeight w:val="216"/>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the 2024 Equity Incentive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1,008,617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597,112</w:t>
            </w:r>
          </w:p>
        </w:tc>
      </w:tr>
      <w:tr>
        <w:trPr>
          <w:trHeight w:val="21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the 2024 Employee Stock Purchase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1,852,401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805,334</w:t>
            </w:r>
          </w:p>
        </w:tc>
      </w:tr>
      <w:tr>
        <w:trPr>
          <w:trHeight w:val="216"/>
        </w:trPr>
        <w:tc>
          <w:tcPr>
            <w:tcW w:w="6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the ACELYRIN, Inc. 2023 Equity Incentive Plan</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6,264,397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6,585,521</w:t>
            </w:r>
          </w:p>
        </w:tc>
      </w:tr>
      <w:tr>
        <w:trPr>
          <w:trHeight w:val="21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the 2024 Performance Option Plan</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200,627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200,208</w:t>
            </w:r>
          </w:p>
        </w:tc>
      </w:tr>
      <w:tr>
        <w:trPr>
          <w:trHeight w:val="209"/>
        </w:trPr>
        <w:tc>
          <w:tcPr>
            <w:tcW w:w="69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35,125,582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31,068,650</w:t>
            </w:r>
          </w:p>
        </w:tc>
      </w:tr>
      <w:tr>
        <w:trPr>
          <w:trHeight w:val="20"/>
        </w:trPr>
        <w:tc>
          <w:tcPr>
            <w:tcW w:w="6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 Issued to Executives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February 2021, the Company issued 100,532 shares of restricted common stock to two executives at a purchase price of $0.94 per share. The shares vested over a four-year period with a one-year cliff vesting. While the shares were unvested, the holders had voting and dividends rights and the Company had the right to repurchase unvested shares of common stock at the price paid by the holder in the event of termination of the holder’s continuous status as a service provider. The Company estimated the fair value of the restricted stock awards based on the fair value of common stock at the grant dates. The expense was recognized ratably over the vesting terms. The Company recognized zero and less than $0.1 million of stock-based compensation expense for the three months ended March 31, 2026 and 2025.</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restricted common stock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00" w:type="dxa"/>
            <w:vAlign w:val="bottom"/>
          </w:tcPr>
          <w:p>
            <w:pPr>
              <w:ind w:left="67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90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2024</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31,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9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Stock Plan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February 2021, the Company adopted the 2021 Stock Plan (the “2021 Plan”), which provided for stock awards to eligible employees, directors and consultants of the Company. Awards issuable under the 2021 Plan included incentive stock options (“ISOs”), non-statutory stock options (“NSOs”), RSUs and stock grants. Subsequent to the adoption of the 2024 Equity Incentive Plan (the “2024 EIP”) in June 2024, described below, no additional shares were available for issuance under the 2021 Plan, and any stock options granted under the 2021 Plan that were subsequently forfeited would be made available for issuance under the 2024 EIP.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terms of the 2021 Plan permit option holders to exercise stock options before their stock options are vested. The shares of common stock granted upon early exercise that have not yet vested are subject to repurchase by the Company in the event of termination of the holder’s continuous status as a service provider, at the price paid by the holder.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Performance Option Plan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May 2024, the Company’s board of directors adopted, and its stockholders approved, the 2024 Performance Option Plan (the “2024 POP”). The Company reserved 1,880,680 shares of common stock issuable under the 2024 POP. The 2024 POP permits grants of ISOs, NSOs and restricted stock awards to the Company’s employees, directors and consultants.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May 2024, the Company granted NSOs to employees to purchase 1,880,680 shares of common stock at an exercise price of $10.19 under the 2024 POP. Stock options generally vest on the date when the Company meets certain common stock public market price specified targets after the end of the IPO lock-up period, subject to continuous service through each respective vest date. The price targets are calculated based on the volume weighted average price per share over 30 consecutive trading dates, in accordance with the grant terms. The unvested awards will expire if it is determined that the vesting conditions have not been met during the applicable six-year performance period. The service condition includes monthly vesting over 36 months from the vesting commencement date and the employee’s continuous service with the Company through each such monthly vesting date. The terms of the 2024 POP permit option holders to exercise stock options before their stock options are vested, if the market condition has been met.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June 2024, the Company’s board of directors adopted, and its stockholders approved, the 2024 EIP, which became effective on June 27, 2024, upon execution of the underwriting agreement related to the Company’s IPO. The Company reserved 7,800,000 new shares of common stock for issuance under the 2024 EIP. In addition, up to 6,829,339 shares subject to awards under the 2021 Plan that terminate, expire, or lapse for any reason without the delivery of shares, or are reacquired or withheld (or not issued) to satisfy a tax withholding obligation or the purchase or exercise price, were authorized to be added to the 2024 EIP. The 2024 EIP also provides that the number of shares initially reserved and available for issuance will automatically increase each January 1, beginning on January 1, 2025 through January 1, 2034, by an amount equal to 5% of the outstanding number of shares of the Company’s common stock as of the last day of the immediately preceding fiscal year, or such lesser number of shares as determined by the board of directors prior to the applicable January 1. Pursuant to this evergreen provision, the Company increased the number of shares reserved under the 2024 EIP by 5,235,338 on January 1, 2026. No more than 43,888,017 shares of common stock may be issued under the 2024 EIP.</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2024 EIP allows the Company to grant equity awards to its officers, employees, directors and consultants. The 2024 EIP provides for the grant of ISOs, NSOs, restricted stock awards, RSUs, stock appreciation rights, performance awards and other stock-based awards. Stock options under the 2024 EIP may be granted for periods of up to 10 years at exercise prices no less than the fair market value of common stock on the date of grant; provided, however, that the exercise price of an ISO granted to a 10% stockholder may not be less than 110% of the fair market value of the shares on the date of grant and such option may not be exercisable after the expiration of five years from the date of grant. Stock options and RSUs granted under the 2024 EIP generally vest over four years. The grant date fair market value of all awards made under the 2024 EIP and all cash compensation paid by the Company to any non-employee director for services as a director in any fiscal year may not exceed $750,000, increased to $1,000,000 in the fiscal year of their initial service as a non-employee director. The terms of the 2024 EIP do not permit option holders to exercise stock options before their stock options are vested.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ACELYRIN Plans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the Company assumed certain stock options, RSUs and performance RSUs outstanding under the ACELYRIN, Inc. 2020 Stock Option and Grant Plan, as amended (the “ACELYRIN 2020 Plan”), the</w:t>
      </w:r>
    </w:p>
    <w:p>
      <w:pPr>
        <w:sectPr>
          <w:pgSz w:w="11900" w:h="16838" w:orient="portrait"/>
          <w:cols w:equalWidth="0" w:num="1">
            <w:col w:w="9019"/>
          </w:cols>
          <w:pgMar w:left="1440" w:top="500"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ValenzaBio, Inc. Stock Plan (the “ValenzaBio Plan”) and the ACELYRIN, Inc. 2023 Equity Incentive Plan (the “ACELYRIN 2023 Plan” and, together with the ACELYRIN 2020 Plan and the ValenzaBio Plan, the “ACELYRIN Plans”). In connection with the closing of the ACELYRIN Merger, the Company also assumed the ACELYRIN 2023 Plan, which, as modified in connection with such assumption, permits equity awards to be issued to the extent permissible under applicable law and Nasdaq listing rules.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Stock options that were outstanding under the ACELYRIN Plans immediately prior to the Closing Date were assumed by the Company and converted into stock options to purchase the Company’s common stock. RSUs that were outstanding and unvested immediately prior to the Closing Date were assumed by the Company and converted into the Company’s RSU awards. Performance RSUs outstanding and unvested immediately prior to the Closing Date were converted into the Company’s RSU awards subject only to a service vesting condition.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excluding under the 2024 POP, for the three months ended March 31, 2026 and includes early exercised shares as part of stock options exercised: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360" w:type="dxa"/>
            <w:vAlign w:val="bottom"/>
            <w:gridSpan w:val="3"/>
            <w:vMerge w:val="restart"/>
          </w:tcPr>
          <w:p>
            <w:pPr>
              <w:jc w:val="right"/>
              <w:ind w:righ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Exercise</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Contractual</w:t>
            </w:r>
          </w:p>
        </w:tc>
        <w:tc>
          <w:tcPr>
            <w:tcW w:w="260" w:type="dxa"/>
            <w:vAlign w:val="bottom"/>
            <w:gridSpan w:val="2"/>
            <w:vMerge w:val="continue"/>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5"/>
                <w:szCs w:val="15"/>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4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18,672,626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4,459,928</w:t>
            </w:r>
          </w:p>
        </w:tc>
        <w:tc>
          <w:tcPr>
            <w:tcW w:w="40" w:type="dxa"/>
            <w:vAlign w:val="bottom"/>
          </w:tcPr>
          <w:p>
            <w:pPr>
              <w:spacing w:after="0"/>
              <w:rPr>
                <w:sz w:val="18"/>
                <w:szCs w:val="18"/>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(2,177,964)</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(115,429)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vested and expected to vest as of March 31, 2026</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20,839,161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4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9,695,191</w:t>
            </w:r>
          </w:p>
        </w:tc>
        <w:tc>
          <w:tcPr>
            <w:tcW w:w="40" w:type="dxa"/>
            <w:vAlign w:val="bottom"/>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Total exercisable shares of 9,695,191 as of March 31, 2026 included 1,675,362 unvested shares that were early exercisable under the 2021 Plan. The total fair value of stock options vested during the three months ended March 31, 2026 and 2025 was $7.4 million and $3.4 million,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under the 2024 POP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8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3"/>
                <w:szCs w:val="13"/>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Weighted-</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Pr>
          <w:p>
            <w:pPr>
              <w:spacing w:after="0"/>
              <w:rPr>
                <w:sz w:val="15"/>
                <w:szCs w:val="15"/>
                <w:color w:val="auto"/>
              </w:rPr>
            </w:pP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4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1,680,472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or expired</w:t>
            </w:r>
          </w:p>
        </w:tc>
        <w:tc>
          <w:tcPr>
            <w:tcW w:w="1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vested and expected to vest as of March 31, 2026</w:t>
            </w:r>
          </w:p>
        </w:tc>
        <w:tc>
          <w:tcPr>
            <w:tcW w:w="42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1,680,053</w:t>
            </w:r>
          </w:p>
        </w:tc>
        <w:tc>
          <w:tcPr>
            <w:tcW w:w="20" w:type="dxa"/>
            <w:vAlign w:val="bottom"/>
          </w:tcPr>
          <w:p>
            <w:pPr>
              <w:spacing w:after="0"/>
              <w:rPr>
                <w:sz w:val="21"/>
                <w:szCs w:val="21"/>
                <w:color w:val="auto"/>
              </w:rPr>
            </w:pP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tcPr>
          <w:p>
            <w:pPr>
              <w:spacing w:after="0"/>
              <w:rPr>
                <w:sz w:val="21"/>
                <w:szCs w:val="21"/>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9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as of March 31, 2026</w:t>
            </w:r>
          </w:p>
        </w:tc>
        <w:tc>
          <w:tcPr>
            <w:tcW w:w="42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gridSpan w:val="2"/>
            <w:shd w:val="clear" w:color="auto" w:fill="CCEEFF"/>
          </w:tcPr>
          <w:p>
            <w:pPr>
              <w:ind w:lef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bottom w:val="single" w:sz="8" w:color="CCEEFF"/>
            </w:tcBorders>
            <w:shd w:val="clear" w:color="auto" w:fill="CCEEFF"/>
          </w:tcPr>
          <w:p>
            <w:pPr>
              <w:ind w:lef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Stock Options Granted under Non-Performance Plans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weighted-average grant date fair value of stock options granted for the three months ended March 31, 2026 and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was $20.80 and $4.10 per stock option, respectively.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of stock options granted for the three months ended March 31, 2026 and 2025 was estimated using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Black-Scholes option pricing model with the following assumptions: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80" w:type="dxa"/>
            <w:vAlign w:val="bottom"/>
            <w:vMerge w:val="restart"/>
          </w:tcPr>
          <w:p>
            <w:pPr>
              <w:ind w:left="4760"/>
              <w:spacing w:after="0"/>
              <w:rPr>
                <w:sz w:val="20"/>
                <w:szCs w:val="20"/>
                <w:color w:val="auto"/>
              </w:rPr>
            </w:pPr>
            <w:r>
              <w:rPr>
                <w:rFonts w:ascii="Times New Roman" w:cs="Times New Roman" w:eastAsia="Times New Roman" w:hAnsi="Times New Roman"/>
                <w:sz w:val="14"/>
                <w:szCs w:val="14"/>
                <w:b w:val="1"/>
                <w:bCs w:val="1"/>
                <w:color w:val="auto"/>
              </w:rPr>
              <w:t>​​​</w:t>
            </w:r>
          </w:p>
        </w:tc>
        <w:tc>
          <w:tcPr>
            <w:tcW w:w="3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980" w:type="dxa"/>
            <w:vAlign w:val="bottom"/>
            <w:tcBorders>
              <w:bottom w:val="single" w:sz="8" w:color="CCEEFF"/>
            </w:tcBorders>
            <w:vMerge w:val="continue"/>
          </w:tcPr>
          <w:p>
            <w:pPr>
              <w:spacing w:after="0"/>
              <w:rPr>
                <w:sz w:val="12"/>
                <w:szCs w:val="12"/>
                <w:color w:val="auto"/>
              </w:rPr>
            </w:pPr>
          </w:p>
        </w:tc>
        <w:tc>
          <w:tcPr>
            <w:tcW w:w="1800" w:type="dxa"/>
            <w:vAlign w:val="bottom"/>
            <w:tcBorders>
              <w:bottom w:val="single" w:sz="8" w:color="auto"/>
            </w:tcBorders>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CCEEFF"/>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tcBorders>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6.04 - 6.06</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6.04 - 6.08</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 - 96.71%</w:t>
            </w:r>
          </w:p>
        </w:tc>
        <w:tc>
          <w:tcPr>
            <w:tcW w:w="3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98.84% - 99.18%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 - 3.92%</w:t>
            </w: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 - 4.65%</w:t>
            </w: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231F20"/>
        </w:rPr>
        <w:t>Expected Term</w:t>
      </w:r>
    </w:p>
    <w:p>
      <w:pPr>
        <w:spacing w:after="0" w:line="22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231F20"/>
        </w:rPr>
        <w:t xml:space="preserve">The expected term represents the weighted-average period the stock options are expected to remain </w:t>
      </w:r>
      <w:r>
        <w:rPr>
          <w:rFonts w:ascii="Times New Roman" w:cs="Times New Roman" w:eastAsia="Times New Roman" w:hAnsi="Times New Roman"/>
          <w:sz w:val="18"/>
          <w:szCs w:val="18"/>
          <w:color w:val="000000"/>
        </w:rPr>
        <w:t>outstanding and 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based on the stock options’ vesting terms and contractual terms, as the Company did not have sufficient historical information to develop reasonable expectations about future exercise patterns and post-vesting employment termination behavior.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expected stock price volatility assumption was determined by examining the historical volatilities for industry peers, as the Company did not have sufficient trading history of its common stock. The Company will continue to use industry peers in determining historical stock price volatility until sufficient historical data of its common stock becomes available.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risk-free interest rate assumption is based on the U.S. Treasury instruments whose term was consistent with the expected term of the Company’s stock options.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not paid any cash dividends on common stock since inception and does not anticipate paying any dividends in the foreseeable future. Consequently, an expected dividend yield of zero was used.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Valuation of Stock Options Granted under the 2024 POP</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Stock options granted under the 2024 POP vest based on service, market and performance conditions (the occurrence of the IPO or a change of control) and are classified as equity financial instruments. At the grant date, the fair value of stock options granted under the 2024 POP was estimated using a Monte Carlo simulation model, which uses a distribution of potential outcomes on a monthly basis over the vesting period prioritizing the most reliable information available. The assumptions utilized in the calculation were based on the achievement of certain stock price thresholds, including the Company’s expected common stock price, expected volatility, risk-free rate and expected term. The Company used the following assumptions to estimate the fair value at the grant date in May 2024: common stock fair value of $12.06, vesting term of 6.0 years, volatility of 122.00%, and risk-free rate of 4.38%. The estimates of fair value are uncertain and changes in any of the estimated inputs could have resulted in significant adjustments to the fair value.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estimated fair value of stock options issued under the 2024 POP of $18.0 million is recognized using graded vesting from July 1, 2024, the closing of the IPO, when the performance condition was met, over the longer of (i) the explicit service period of the service condition of 36 months or (ii) the derived service period between 1.4 years to 2.1 years, as determined for each graded vesting tranche.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Employee Stock Options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Proceeds from the early exercise of stock options are recorded as share repurchase liability, and as shares vest are recognized to additional paid-in capital in the consolidated balance sheets. As of March 31, 2026 and December 31, 2025, share repurchase liability related to unvested shares was $0.1 million and $0.1 million, respectively, and was classified as share repurchase liability in the condensed consolidated balance sheets.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early exercised shares activity for the three months ended March 31, 2026:</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40" w:type="dxa"/>
            <w:vAlign w:val="bottom"/>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940" w:type="dxa"/>
            <w:vAlign w:val="bottom"/>
            <w:vMerge w:val="restart"/>
          </w:tcPr>
          <w:p>
            <w:pPr>
              <w:ind w:left="68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6940" w:type="dxa"/>
            <w:vAlign w:val="bottom"/>
            <w:vMerge w:val="continue"/>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June 2024, the Company’s board of directors adopted, and its stockholders approved, the 2024 ESPP, which became effective on June 28, 2024, upon execution of the underwriting agreement related to the Company’s IPO. The Company initially reserved 650,000 shares of common stock for issuance under the 2024 ESPP. The number of shares of common stock reserved for issuance under the 2024 ESPP will be automatically increased each year for ten calendar years beginning on January 1, 2025 through January 1, 2034, by the lesser of (i) 1% of the total number of shares of the Company’s common stock outstanding on the last day of the calendar month before the date of the automatic increase, and (ii) 1,950,000 shares; provided that before the date of any such increase, the board of directors may determine that such increase will be less than the amount in (i) and (ii) above. Pursuant to this evergreen provision, the Company increased the number of shares reserved under the 2024 ESPP by 1,047,067 on January 1, 2026. The 2024 ESPP allows an eligible employee to purchase shares of common stock at an amount equal to 85% of the lower of the fair market value of the Company’s common stock at the beginning of the offering period or at each applicable purchase date during an offering period as established by the board of directors. The first purchase period commenced on January 24, 2025 and ended on May 20, 2025. During the three months ended March 31, 2026, no shares of common stock were purchased under the 2024 ESPP.</w:t>
      </w:r>
    </w:p>
    <w:p>
      <w:pPr>
        <w:spacing w:after="0" w:line="19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Black-Scholes option pricing model used in estimating the fair value of the stock purchase rights under the 2024 ESPP for the three months ended March 31, 2026:</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vMerge w:val="restart"/>
          </w:tcPr>
          <w:p>
            <w:pPr>
              <w:ind w:left="6180"/>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24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10"/>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652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30</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5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unvested RSUs activity for the three months ended March 31, 2026:</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6940" w:type="dxa"/>
            <w:vAlign w:val="bottom"/>
            <w:vMerge w:val="restart"/>
          </w:tcPr>
          <w:p>
            <w:pPr>
              <w:ind w:left="680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continue"/>
          </w:tcPr>
          <w:p>
            <w:pPr>
              <w:spacing w:after="0"/>
              <w:rPr>
                <w:sz w:val="12"/>
                <w:szCs w:val="12"/>
                <w:color w:val="auto"/>
              </w:rPr>
            </w:pPr>
          </w:p>
        </w:tc>
        <w:tc>
          <w:tcPr>
            <w:tcW w:w="2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73"/>
        </w:trPr>
        <w:tc>
          <w:tcPr>
            <w:tcW w:w="6940" w:type="dxa"/>
            <w:vAlign w:val="bottom"/>
            <w:vMerge w:val="continue"/>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gridSpan w:val="2"/>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2,527,377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877,331</w:t>
            </w:r>
          </w:p>
        </w:tc>
        <w:tc>
          <w:tcPr>
            <w:tcW w:w="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(76,873)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09"/>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3,280,326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stock-based compensation expense recognized in the Company’s condensed consolidated statements of operations and comprehensive loss for the three months ended March 31, 2026 and 2025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vMerge w:val="restart"/>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recognized in the Company’s condensed consolidated statements of operations and comprehensive loss by award type for the three months ended March 31, 2026 and 2025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vMerge w:val="restart"/>
          </w:tcPr>
          <w:p>
            <w:pPr>
              <w:ind w:left="6700"/>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6,803</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related to non-employee awards was $0.3 million and $0.1 million for the three months ended March 31, 2026 and 2025, respectively. Stock-based compensation expense related to the 2024 POP was $1.4 million and $2.1 million for the three months ended March 31, 2026 and 2025, respectively.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stock-based compensation expense for all stock awards was $161.2 million, which the Company expects to recognize over a weighted-average period of 3.0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sponsors a qualified 401(k) defined contribution plan covering eligible employees. Participants may contribute a portion of their annual compensation limited to a maximum annual amount set by the Internal Revenue Service. In November 2025, the Company’s board of directors approved a Company match of 100% of participating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employee’s deferral contribution up to 3% of eligible compensation and a 50% match of participating employees’ deferral contribution from 3% to 5% of eligible compensation, effective from January 1, 2026. The Company contributed $0.9 million to the 401(k) plan during the three months ended March 31,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Net Loss Per Share Attributable to Common Stockholders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computation of the basic and diluted net loss per share attributable to common stockholders for the three months ended March 31, 2026 and 2025 (in thousands, except share and per share amounts):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22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gridSpan w:val="2"/>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(98,963)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02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ind w:right="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125,062,435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54,407,327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Weighted-average shares of common stock subject to repurchase</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6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125,050,645</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54,280,264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computation of diluted net loss per share attributable to common stockholders for the periods presented, because including them would have been antidilutive:</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40" w:type="dxa"/>
            <w:vAlign w:val="bottom"/>
            <w:vMerge w:val="restart"/>
          </w:tcPr>
          <w:p>
            <w:pPr>
              <w:ind w:left="63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40" w:type="dxa"/>
            <w:vAlign w:val="bottom"/>
            <w:tcBorders>
              <w:bottom w:val="single" w:sz="8" w:color="CCEEFF"/>
            </w:tcBorders>
            <w:vMerge w:val="continue"/>
          </w:tcPr>
          <w:p>
            <w:pPr>
              <w:spacing w:after="0"/>
              <w:rPr>
                <w:sz w:val="15"/>
                <w:szCs w:val="15"/>
                <w:color w:val="auto"/>
              </w:rPr>
            </w:pPr>
          </w:p>
        </w:tc>
        <w:tc>
          <w:tcPr>
            <w:tcW w:w="11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vMerge w:val="continue"/>
          </w:tcPr>
          <w:p>
            <w:pPr>
              <w:spacing w:after="0"/>
              <w:rPr>
                <w:sz w:val="15"/>
                <w:szCs w:val="15"/>
                <w:color w:val="auto"/>
              </w:rPr>
            </w:pPr>
          </w:p>
        </w:tc>
        <w:tc>
          <w:tcPr>
            <w:tcW w:w="11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22,519,214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13,245,589</w:t>
            </w:r>
          </w:p>
        </w:tc>
        <w:tc>
          <w:tcPr>
            <w:tcW w:w="0" w:type="dxa"/>
            <w:vAlign w:val="bottom"/>
          </w:tcPr>
          <w:p>
            <w:pPr>
              <w:spacing w:after="0"/>
              <w:rPr>
                <w:sz w:val="1"/>
                <w:szCs w:val="1"/>
                <w:color w:val="auto"/>
              </w:rPr>
            </w:pP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issued and outstanding</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3,280,326</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issuable under the 2024 ESPP</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255,890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158,031</w:t>
            </w: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Early exercised stock options and unvested restricted common stock</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102,950</w:t>
            </w: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26,065,910</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13,506,570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purposes of evaluating performance and allocating resources, the Company’s CODM, its Chief Executive Officer, regularly reviews consolidated net loss as reported in the Company’s consolidated statements of operations and comprehensive loss as compared to budget. The measure of segment assets is reported in the consolidated balance sheets as total consolidated assets.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ALUMIS INC.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THE CONDENSED CONSOLIDATED FINANCIAL STATEMENTS</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1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loss presented in the Company’s condensed consolidated statements of operations and comprehensive loss, see below for disaggregated amounts that comprise research and development expenses for the three months ended March 31, 2026 and 2025 (in thousands):</w:t>
      </w:r>
    </w:p>
    <w:p>
      <w:pPr>
        <w:spacing w:after="0" w:line="19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4"/>
          <w:szCs w:val="14"/>
          <w:b w:val="1"/>
          <w:bCs w:val="1"/>
          <w:color w:val="auto"/>
        </w:rPr>
        <w:t>Three Months Ended March 31,</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6520" w:type="dxa"/>
            <w:vAlign w:val="bottom"/>
          </w:tcPr>
          <w:p>
            <w:pPr>
              <w:spacing w:after="0"/>
              <w:rPr>
                <w:sz w:val="15"/>
                <w:szCs w:val="15"/>
                <w:color w:val="auto"/>
              </w:rPr>
            </w:pPr>
          </w:p>
        </w:tc>
        <w:tc>
          <w:tcPr>
            <w:tcW w:w="240" w:type="dxa"/>
            <w:vAlign w:val="bottom"/>
            <w:gridSpan w:val="2"/>
          </w:tcPr>
          <w:p>
            <w:pPr>
              <w:ind w:left="100"/>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External costs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CROs, CMOs and clinical trials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Professional consulting services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Internal costs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Personnel-related costs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Facilities and overhead costs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100,150</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118,917</w:t>
            </w:r>
          </w:p>
        </w:tc>
        <w:tc>
          <w:tcPr>
            <w:tcW w:w="1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(101,528)</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00"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and the unaudited condensed consolidated financial statements and related notes included in this Quarterly Report on Form 10-Q in conjunction with the financial statements and related notes thereto as of and for the year ended December 31, 2025 and the related Management’s Discussion and Analysis of Financial Condition and Results of Operations, both of which are contained in the Annual Report on Form 10-K filed with the U.S. Securities and Exchange Commission (“SEC”) on March 19, 2026. This discussion and analysis and other parts of this Quarterly Report on Form 10-Q contain forward-looking statements based upon current beliefs, plans and expectations related to future events and our future financial performance that involve risks, uncertainties and assumptions, such as statements regarding our intentions, plans, objectives and expectations for our business. Our actual results and the timing of selected events could differ materially from those described in or implied by these forward-looking statements as a result of several factors, including those set forth under Part II, Item 1A “Risk Factors” in this Quarterly Report on Form 10-Q. See also the section titled “Special Note Regarding Forward-Looking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mission is to significantly improve the lives of patients by replacing broad immunosuppression with targeted therapies. Our name, Alumis, captures our mission to enlighten immunology, and is inspired by the words “allumer”—French for illuminate—and “immunis”—Latin for the immune system.</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 clinical stage biopharmaceutical company with an initial focus on developing our two Tyrosine Kinase 2 (“TYK2”) inhibitors: envu, a second-generation inhibitor that we are developing to maximize target inhibition and optimize tolerability, and A-005, a central nervous system (“CNS”) penetrant molecule. Envu is currently being evaluated in an ongoing Phase 2 open-label extension (“OLE”) trial, as well as a Phase 3 long-term extension (“LTE”) trial in patients with PsO and we plan to submit an NDA for envu in PsO to the U.S. Food and Drug Administration (“FDA”) in the second half of 2026. Envu completed enrollment in the pivotal Phase 3 ONWARD1 and ONWARD2 clinical trials in patients with PsO, and we reported positive topline results in the first quarter of 2026. In addition, envu is currently being evaluated in a Phase 2 clinical trial in patients with systemic lupus erythematosus (“SLE”), for which we expect to report topline results in the third quarter of 2026. We are currently evaluating additional immune-mediated disease indications for envu, beyond PsO and SLE, and for A-005 in CNS and peripheral diseases. In April 2024, we initiated our Phase 1 program of A-005 in healthy volunteers and reported initial results in December 2024. In addition, in connection with the ACELYRIN Merger, we acquired lonigutamab, a subcutaneously delivered, monoclonal antibody targeting IGF-1R for the potential treatment of TED. In May 2026, we completed our strategic review of the lonigutamab program, and decided to explore strategic alternatives for the program.</w:t>
      </w:r>
    </w:p>
    <w:p>
      <w:pPr>
        <w:spacing w:after="0" w:line="19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efforts to organizing our company, hiring personnel, business planning, acquiring and developing our product candidates, performing research and development, conducting preclinical studies and clinical trials, establishing and protecting our intellectual property portfolio, raising capital, integrating the acquired ACELYRIN business and personnel, and providing general and administrative support for these activities. We do not have any products approved for sale and have not generated any revenue from product sales. We expect to continue to incur significant and increasing expenses and increasing substantial losses for the foreseeable future as we continue our development of and seek regulatory approvals for our product candidates and commercialize any approved products, seek to expand our product pipeline and invest in our expanded organization following the ACELYRIN Merger. Our ability to achieve and sustain profitability will depend on our ability to successfully develop, obtain regulatory approval for and commercialize our product candidates. There can be no assurance that we will ever achieve profitability, or if achieved, that the revenue or profitability will be sustained on a continuing basis.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incurred significant operating losses and negative cash flows since our inception. Our net loss for the three months ended March 31, 2026 and 2025 was $93.1 million and $99.0 million, respectively. As of March 31, 2026, we had an accumulated deficit of $994.9 million.</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Substantially all of our net losses have resulted from costs incurred in connection with our research and development efforts, including acquisitions of in-process research and development assets, and, to a lesser extent, from general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administrative costs associated with our operations. Our net losses and operating losses may fluctuate from quarter to quarter and year to year depending primarily on the timing of acquisition of any new product candidates, the timing of our preclinical studies and clinical trials, our other research and development expenses, and the timing and amount of any milestone or royalty payments due under our existing or future license agreements. We have incurred and will continue to incur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anticipate that our expenses will increase significantly in connection with our ongoing activities, particularly if and as we:</w:t>
      </w:r>
    </w:p>
    <w:p>
      <w:pPr>
        <w:spacing w:after="0" w:line="162"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continue to progress the development of our product candidates in multiple clinical trials in parallel;</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prepare to submit an NDA for envu in PsO in the second half of 2026, including as we conduct activities, including CMC activities, that are required to complete our planned NDA submission;</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explore additional indications for our existing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hire additional clinical and scientific personnel;</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 maintain, expand and protect our intellectual property rights;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make royalty, milestone or other payments under the FronThera Acquisition, the Pierre Fabre Agreement, the Kaken Collaboration Agreement and any future license or collaboration agreements;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to identify, acquire or in-license new technologies or product candidates;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seek regulatory and marketing approvals for any of our product candidates that successfully complete clinical trials, if any;</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procure manufacturing and supply chain capacity for our product candidates, including commercial manufacturing readiness and scale-up;</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experience any delays, challenges or other issues associated with the clinical development and regulatory approvals of our product candidates;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 operational, legal, financial and management information systems and personnel to support our product development, clinical execution and planned future commercialization efforts, as well as to support our operating as a public company;</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 a sales, marketing and distribution infrastructure to commercialize any product candidates for which we obtain marketing approval; and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operate as a public company.</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 from any product candidates that we develop until we obtain regulatory approval for one or more of such product candidates and commercialize our products or enter into collaboration agreements with third parties. Because of the numerous risks and uncertainties associated with biopharmaceutical product development, we may never achieve or sustain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business plans when needed on acceptable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facility. We rely on CMOs to produce our product candidates in accordance with the FDA’s current Good Manufacturing Practices (“cGMP”) regulations for use in our clinical studies. We have entered into development and manufacturing agreements with various CMOs relating to process development, manufacturing of drug substance and drug product, and quality testing of our product candidates. We expect to rely on our CMOs in the future for the manufacturing of our product candidates in order to expedite readiness for future clinical trials. Most of these CMOs have demonstrated capability in preparation of materials for commercialization. Additionally, we may decide to build our own manufacturing facility in the future to provide us with greater flexibility and control over our clinical or commercial manufacturing needs.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Given our stage of development, we do not yet have a fully established marketing or sales organization or commercial infrastructure; however, we have begun building foundational capabilities and intend to continue expanding the necessary sales, marketing and commercialization capabilities and infrastructure over time as our product candidates advance through clinical development and regulatory approval. We expect to spend a significant amount in commercial development and marketing costs prior to obtaining regulatory and marketing approval of one or more of our product candidates.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Controlled Equity Offering</w:t>
      </w:r>
      <w:r>
        <w:rPr>
          <w:rFonts w:ascii="Times New Roman" w:cs="Times New Roman" w:eastAsia="Times New Roman" w:hAnsi="Times New Roman"/>
          <w:sz w:val="26"/>
          <w:szCs w:val="26"/>
          <w:b w:val="1"/>
          <w:bCs w:val="1"/>
          <w:i w:val="1"/>
          <w:iCs w:val="1"/>
          <w:color w:val="auto"/>
          <w:vertAlign w:val="superscript"/>
        </w:rPr>
        <w:t>SM</w:t>
      </w:r>
    </w:p>
    <w:p>
      <w:pPr>
        <w:spacing w:after="0" w:line="145" w:lineRule="exact"/>
        <w:rPr>
          <w:sz w:val="20"/>
          <w:szCs w:val="20"/>
          <w:color w:val="auto"/>
        </w:rPr>
      </w:pPr>
    </w:p>
    <w:p>
      <w:pPr>
        <w:jc w:val="both"/>
        <w:ind w:left="60" w:right="79"/>
        <w:spacing w:after="0" w:line="255" w:lineRule="auto"/>
        <w:rPr>
          <w:sz w:val="20"/>
          <w:szCs w:val="20"/>
          <w:color w:val="auto"/>
        </w:rPr>
      </w:pPr>
      <w:r>
        <w:rPr>
          <w:rFonts w:ascii="Times New Roman" w:cs="Times New Roman" w:eastAsia="Times New Roman" w:hAnsi="Times New Roman"/>
          <w:sz w:val="18"/>
          <w:szCs w:val="18"/>
          <w:color w:val="auto"/>
        </w:rPr>
        <w:t>On March 18, 2026, we entered into the Sales Agreement with Cantor as sales agent, pursuant to which we may offer and sell, from time to time through Cantor, at our option, the ATM Shares. The ATM Shares include shares of our common stock having an aggregate offering price of up to $300.0 million. The sales of the ATM Shares will be made by any method permitted that is deemed to be an “at-the-market” equity offering as defined in Rule 415(a)(4) promulgated under the Securities Act, including sales made directly on or through the Nasdaq Global Select Market. We agreed to pay Cantor a commission of up to 3.0% of the aggregate gross proceeds from any ATM Shares sold by Cantor. As of March 31, 2026, no ATM Shares were sold under the Sales Agreement.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January 7, 2026, we entered into the Underwriting Agreement with the Underwriters, relating to the issuance and sale in a public offering of 17,650,000 shares of our common stock at a price of $17.00 per share. In addition, we granted the Underwriters an option, exercisable for 30 days, to purchase up to 2,647,500 additional shares of common stock at the public offering price, less the underwriting discounts and commissions, which was exercised in full on January 8, 2026. On January 9, 2026, the offering closed and we received net proceeds of $324.4 million, after deducting underwriting discounts and commissions.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ACELYRIN Merger</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February 6, 2025, we entered into a Merger Agreement with ACELYRIN and Merger Sub, a Delaware corporation and a direct wholly owned subsidiary. The Merger Agreement was approved by the disinterested directors on our board of directors and the board of directors of ACELYRIN and was approved by the stockholders of each company on May 13, 2025. On May 21, 2025, we completed the ACELYRIN Merger for a purchase consideration of $238.1 million that included the issuance of 48,653,549 shares of our common stock and the fair value of replacement awards attributable to pre-combination services, to acquire net assets with a fair value of $426.0 million. See Note 3 to our unaudited condensed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included in Part I, Item 1 of this Quarterly Report on Form 10-Q for additional information.</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results of operations include the accounts of our wholly owned subsidiaries ACELYRIN and WH2, LLC after the closing of the ACELYRIN Merger, and the accounts of Merger Sub from its incorporation in January 2025 until the ACELYRIN Merger. Accordingly, the results discussed below were impacted by the timing of the ACELYRIN Merger. WH2, LLC has not had any operations or any balances since the closing of the ACELYRIN Merger. See Note 2 to our unaudited condensed consolidated financial statements included in Part I, Item 1 of this Quarterly Report on Form 10-Q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Macroeconomic Trends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Our business and results of operations may be affected by worldwide economic conditions, which may continue to be impacted by global macroeconomic challenges and uncertainty in the markets,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evolving U.S. and ex-U.S. tariff landscape). Further, the United States and other countries have imposed and may continue to impose new trade restrictions and export regulations, have levied tariffs and taxes on certain goods, and could continue to significantly increase tariffs on a broad array of goods. For example, in April 2025, the U.S. government imposed a 10% baseline global tariff and in August 2025, the United States imposed higher “reciprocal” tariffs on numerous other territories, including European Union (“EU”) member states and South Korea. While the U.S. Supreme Court recently issued a ruling invalidating tariffs imposed by the Trump administration under the International Emergency Economic Powers Act, other tariffs imposed by the U.S. government remain in place, including the 10% global tariff imposed by the Trump administration under Section 122 of the Trade Act of 1974 following the U.S. Supreme Court decision. Moreover, in 2025, the Bureau of Industry and Security, U.S. Department of Commerce, initiated an investigation under Section 232 of the Trade Expansion Act of 1962 to determine whether pharmaceutical ingredients, including finished drug product, manufactured outside the United States pose a national security risk and should be subject to additional tariffs. Based on this investigation, on April 2, 2026, the President issued a proclamation imposing up to a 100% tariff on certain patented pharmaceuticals and associated pharmaceutical ingredients. Given the volatility and uncertainty regarding the scope and duration of tariffs and other aspects of U.S. and foreign government trade policies, the ultimate impact on our operations and financial results remains uncertain. Likewise, our financial condition and results of operations may continue to be affected by global volatility and general market disruption resulting from geopolitical tensions, such as the ongoing Russia-Ukraine military conflict and the ongoing military conflict involving the U.S., Israel and Iran. In particular, the continued escalation of hostilities in the Middle East, including involving Iran, could further disrupt global energy markets, fuel prices, transportation networks, and supply chains, which may disrupt or otherwise negatively impact our supply chain and increase our costs. The effect of macroeconomic conditions may not be fully reflected in our results of operations until future periods. Moreover, negative macroeconomic conditions could adversely impact our ability to obtain financing in the future on terms acceptable to us, or at all. To date, the macroeconomic trends discussed above have not had a material adverse impact on our business, financial condition or results of operations. If, however, economic uncertainty increases or the global economy worsens, our business, financial condition and results of operations may be harmed.</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March 25, 2025, we entered into the Kaken Collaboration Agreement. Under the terms of the Kaken Collaboration Agreement, we granted to Kaken an exclusive right to develop, manufacture and commercialize envu for dermatology indications in Japan, with options to expand the license, subject to opt-in payments and certain cost-sharing obligations on the part of Kaken, to include rheumatological and gastrointestinal diseases.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terms of the Kaken Collaboration Agreement, we are responsible for the global development of envu in the dermatology field, and Kaken is responsible for the clinical development, regulatory approvals and commercialization of envu in Japan in dermatology and other indications for which Kaken has exercised its option. Kaken is required to use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commercially reasonable efforts to conduct all subsequent development, manufacture, and commercialization activities. The Kaken Collaboration Agreement further provides that we will retain rights to envu in all other indications and geographies.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March 2025, Kaken made an upfront, non-refundable payment of $20.0 million to us. In addition, Kaken will pay us an aggregate of $20.0 million towards global development costs of envu in the dermatology field through the end of 2026 and thereafter will pay a specified share of development costs applicable to the dermatology field, and for any field for which Kaken exercises its option, subject to Kaken's right to opt out of cost-sharing in certain indications in specified circumstances. In addition, Kaken would pay us up to an aggregate of $36.0 million upon the achievement of regulatory milestones and upon Kaken’s exercise of its field expansion options for the rheumatology and gastrointestinal fields. In addition, we are entitled to receive aggregate payments of up to ¥15.5 billion upon the achievement of commercial milestones, plus tiered royalties at percentages ranging from the low double digits into the twenties on aggregate net sales of envu in Japan.</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external and internal costs primarily related to acquiring and developing our research pipeline and technologies and clinical development of our product candidates.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External costs include:</w:t>
      </w:r>
    </w:p>
    <w:p>
      <w:pPr>
        <w:spacing w:after="0" w:line="225" w:lineRule="exact"/>
        <w:rPr>
          <w:sz w:val="20"/>
          <w:szCs w:val="20"/>
          <w:color w:val="auto"/>
        </w:rPr>
      </w:pPr>
    </w:p>
    <w:p>
      <w:pPr>
        <w:ind w:left="720" w:right="79" w:hanging="319"/>
        <w:spacing w:after="0" w:line="282" w:lineRule="auto"/>
        <w:tabs>
          <w:tab w:leader="none" w:pos="7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associated with acquiring technology and intellectual property licenses that have no alternative future uses and costs incurred under in-license or assignment agreements, including milestone payments;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expenses incurred in connection with the discovery and preclinical development of our pipeline programs;</w:t>
      </w:r>
    </w:p>
    <w:p>
      <w:pPr>
        <w:spacing w:after="0" w:line="22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incurred in connection with the clinical development of our product candidates, including under agreements with CROs, CMOs and other third parties that conduct clinical trials and manufacture clinical supplies, product candidates and components on our behalf; and</w:t>
      </w:r>
    </w:p>
    <w:p>
      <w:pPr>
        <w:spacing w:after="0" w:line="17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costs for third-party professional research and development consulting services.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Internal costs include:</w:t>
      </w:r>
    </w:p>
    <w:p>
      <w:pPr>
        <w:spacing w:after="0" w:line="225" w:lineRule="exact"/>
        <w:rPr>
          <w:sz w:val="20"/>
          <w:szCs w:val="20"/>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research and development personnel-related costs, including salaries, annual bonuses, benefits, travel </w:t>
      </w:r>
      <w:r>
        <w:rPr>
          <w:rFonts w:ascii="Times New Roman" w:cs="Times New Roman" w:eastAsia="Times New Roman" w:hAnsi="Times New Roman"/>
          <w:sz w:val="18"/>
          <w:szCs w:val="18"/>
          <w:color w:val="000000"/>
        </w:rPr>
        <w:t>and meals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expenses and stock-based compensation expense;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allocated facilities and other overhead costs, including software licenses, computer supplies and accessories and other miscellaneous expenses.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acquired and may continue to acquire the rights to develop and commercialize new product candidates. Upfront payments related to acquired IPR&amp;D assets are recognized as expenses when we determine that the assets acquired do not have alternative future uses. Milestone payments are accrued and expensed when the achievement of the milestone is probable up to the point of regulatory approval and, absent obtaining such approval, have no alternative future use. Milestone payments made after a product’s regulatory approval will be capitalized and amortized over the remaining useful life of the related product.</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of certain activities are recognized based on an evaluation of the progress to completion of specific tasks. However, payments made prior to the receipt of goods or services that will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 used or rendered for future research and development activities are deferred and capitalized as research and development prepaid expenses in our consolidated balance sheets. The capitalized amounts are recognized as expense as the goods are delivered or services are performed. Since our inception and through March 31, 2026, our external research and development expenses were primarily related to the discovery and advancement of programs under our TYK2 platform, including our two most advanced product candidates, envu and A-005. We use internal resources primarily for managing our research, process development, manufacturing and clinical development activities. In particular, with respect to internal costs, we deploy our personnel across all of our research and development activities as our employees work across multiple programs, and therefore the costs cannot be allocated to a particular product candidate or research program.</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advance our product candidates into and through clinical trials, pursue regulatory approval of our product candidates, build our operational and commercial capabilities for marketing our products, if approved, and expand our pipeline of product candidates. The process of conducting the necessary clinical research to obtain regulatory approval is time-consuming, expensive and uncertain. The actual probability of success for our product candidates may be affected by a variety of factors, including the safety and efficacy of our product candidates, clinical data, investment in our clinical programs, competition, manufacturability and commercial viability. It is possible that we may never receive regulatory approval for any of our product candidates. As a result of the uncertainties discussed above, we are unable to determine the duration and completion of costs of our research and development projects or if, when and to what extent we will generate revenue from the commercialization and sale of our product candidates, if approved by the FDA and other comparable foreign regulatory authorities.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future research and development costs may vary significantly based on factors such as:</w:t>
      </w:r>
    </w:p>
    <w:p>
      <w:pPr>
        <w:spacing w:after="0" w:line="225" w:lineRule="exact"/>
        <w:rPr>
          <w:sz w:val="20"/>
          <w:szCs w:val="20"/>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progress of our preclinical and clinical development activities;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and scope of preclinical and clinical programs we decide to pursue;</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manufacturing of our product candidates;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and timing of any milestone payment due under our FronThera Acquisition, Pierre Fabre Agreement, the Kaken Collaboration Agreement and any future license or collaboration agreements;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patients that participate in our clinical trials, and per participant clinical trial costs;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and duration of clinical trials required for approval of our product candidates;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of sites included in our clinical trials, and the locations of those sites;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delays or difficulties in adding trial sites and enrolling participants;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patient drop-out or discontinuation rates;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additional safety monitoring if requested by regulatory authorities;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phase of development of our product candidates;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receipt and terms of any approvals from applicable regulatory authorities including the FDA and comparable foreign regulatory authorities;</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maintaining a continued acceptable safety profile of our product candidates following approval, if any, of our product candidates;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competitive outlook;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establish additional strategic collaborations or other arrangements; and</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business interruptions to our operations or to those of the third parties with whom we work.</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costs, legal and consulting services, including those relating to intellectual property and corporate matters, marketing expenses and allocated facilities and other overhead costs, including software licenses, computer supplies, insurance and other miscellaneous expenses. Personnel-related costs include salaries, annual bonuses, benefits, travel and meal expenses and stock-based compensation expense for our general and administrative personnel.</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in the future as a result of expanding our operations, including hiring personnel, preparing for potential commercialization of our product candidates and facility occupancy costs. We also expect to continue incurring costs associated with being a public company, including costs related to accounting, audit, legal, consulting fees, regulatory and tax-related services associated with maintaining compliance with applicable Nasdaq and SEC requirements, additional director and officer insurance costs, and investor and public relations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income (expense) consists primarily of interest income, including amortization of premiums and accretion of discounts on marketable securities and the gain on bargain purchase.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the closing of the ACELYRIN Merger in May 2025, we recognized a gain on bargain purchase which represents the excess of fair value of net assets acquired in the ACELYRIN Merger over the purchase consideration on the Closing Date. The gain on bargain purchase was recognized as other income in the condensed consolidated statements of operations and comprehensive loss as of the Closing Date of the ACELYRIN Merger. See Note 3 to our unaudited condensed consolidated financial statements in Part I, Item 1 of this Quarterly Report on Form 10-Q for additional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and Comprehensive Loss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(dollars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300" w:type="dxa"/>
            <w:vAlign w:val="bottom"/>
            <w:gridSpan w:val="7"/>
          </w:tcPr>
          <w:p>
            <w:pPr>
              <w:ind w:left="1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0" w:type="dxa"/>
            <w:vAlign w:val="bottom"/>
            <w:gridSpan w:val="2"/>
          </w:tcPr>
          <w:p>
            <w:pPr>
              <w:ind w:left="1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96"/>
        </w:trPr>
        <w:tc>
          <w:tcPr>
            <w:tcW w:w="39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14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 (17,389)</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Collaboration revenue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r>
      <w:tr>
        <w:trPr>
          <w:trHeight w:val="209"/>
        </w:trPr>
        <w:tc>
          <w:tcPr>
            <w:tcW w:w="3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(15,082)</w:t>
            </w: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9"/>
        </w:trPr>
        <w:tc>
          <w:tcPr>
            <w:tcW w:w="39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100,150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118,917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r>
      <w:tr>
        <w:trPr>
          <w:trHeight w:val="216"/>
        </w:trPr>
        <w:tc>
          <w:tcPr>
            <w:tcW w:w="3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09"/>
        </w:trPr>
        <w:tc>
          <w:tcPr>
            <w:tcW w:w="39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10"/>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63"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tab/>
        <w:t>not meaningful</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recognized license revenue of zero and $17.4 million, and collaboration revenue of $1.7 million and zero for the three months ended March 31, 2026 and 2025, respectively, related to the Kaken Collaboration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At inception of the contract, we allocated the transaction price to the License Obligation and Development Services Obligation by allocating the transaction price based on the relative standalone selling price of each obligation. The license revenue was recognized upon the transfer of the license to Kaken in March 2025. We expect to recognize revenue under the Development Services Obligation and Manufacturing Services Obligation through the term of the Kaken Collaboration Agreement as the services are performed. See Note 7 to our unaudited condensed consolidated financial statements included in Part I, Item 1 of this Quarterly Report on Form 10-Q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external and internal research and development expenses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 (dollars in thousands):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6"/>
        </w:trPr>
        <w:tc>
          <w:tcPr>
            <w:tcW w:w="4200" w:type="dxa"/>
            <w:vAlign w:val="bottom"/>
          </w:tcPr>
          <w:p>
            <w:pPr>
              <w:spacing w:after="0"/>
              <w:rPr>
                <w:sz w:val="17"/>
                <w:szCs w:val="17"/>
                <w:color w:val="auto"/>
              </w:rPr>
            </w:pPr>
          </w:p>
        </w:tc>
        <w:tc>
          <w:tcPr>
            <w:tcW w:w="1160" w:type="dxa"/>
            <w:vAlign w:val="bottom"/>
            <w:gridSpan w:val="2"/>
          </w:tcPr>
          <w:p>
            <w:pPr>
              <w:ind w:left="84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External costs:</w:t>
            </w: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CROs, CMOs and clinical trials</w:t>
            </w:r>
          </w:p>
        </w:tc>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40,928</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consulting services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 costs: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Personnel-related costs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Facilities and overhead costs</w:t>
            </w:r>
          </w:p>
        </w:tc>
        <w:tc>
          <w:tcPr>
            <w:tcW w:w="9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9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81,540</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96,622</w:t>
            </w:r>
          </w:p>
        </w:tc>
        <w:tc>
          <w:tcPr>
            <w:tcW w:w="14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(15,082)</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$15.1 million, to $81.5 million for the three months ended March 31, 2026, from $96.6 million for the three months ended March 31, 2025.</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CRO, CMO and clinical trials expenses decreased by $24.1 million, to $40.9 million for the three months ended March 31, 2026, from $65.1 million for the three months ended March 31, 2025. The decrease was primarily due to lower clinical trial and CRO expenses reflecting the progression of our envu clinical program following the completion of enrollment and reporting of positive topline results for the pivotal Phase 3 ONWARD1 and ONWARD2 clinical trials in patients with PsO.</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Professional consulting services expenses increased by $0.4 million, to $6.8 million for the three months ended March 31, 2026, from $6.4 million for the three months ended March 31, 2025. The increase was primarily due to higher professional services costs incurred to support the envu clinical program including dissemination efforts related to reporting of topline results for the pivotal Phase 3 ONWARD1 and ONWARD2 clinical trials in patients with PsO.</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Other research and development costs increased by $0.1 million, to $2.4 million for the three months ended March 31, 2026, from $2.3 million for the three months ended March 31, 2025, primarily due to the timing of preclinical studies related to our development programs and research pipeline.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Personnel-related costs increased by $8.4 million, to $26.1 million for the three months ended March 31, 2026, from $17.7 million for the three months ended March 31, 2025, primarily due to an increase in research and development headcount, and included an increase in stock-based compensation expense of $3.6 million driven by additional equity awards granted, as well as employer contributions to our 401(k) plan reflecting a matching program effective January 1, 2026.</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Facilities and overhead costs increased by $0.2 million, to $5.4 million for the three months ended March 31, 2026, from $5.2 million for the three months ended March 31, 2025, primarily due to an increase in information technology and facilities expenses allocated to research and development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External Costs by Program</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external costs by program for the three months ended March 31, 2026 and 2025 (dollars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Envu</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66,492</w:t>
            </w:r>
          </w:p>
        </w:tc>
      </w:tr>
      <w:tr>
        <w:trPr>
          <w:trHeight w:val="21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A-005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1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Lonigutamab</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programs and research and development activities</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3,663</w:t>
            </w:r>
          </w:p>
        </w:tc>
      </w:tr>
      <w:tr>
        <w:trPr>
          <w:trHeight w:val="209"/>
        </w:trPr>
        <w:tc>
          <w:tcPr>
            <w:tcW w:w="6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external research and development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73,771</w:t>
            </w: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our external research and development expenses were primarily related to the clinical development of the envu program and, to a lesser extent, the A-005 and lonigutamab development programs and our research pipeline.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$3.7 million, to $18.6 million for the three months ended March 31, 2026, from $22.3 million for the three months ended March 31, 2025.</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Personnel-related expenses increased by $3.2 million, to $10.6 million for the three months ended March 31, 2026, from $7.4 million for the three months ended March 31, 2025, primarily due to an increase in general and administrative headcount, and included an increase in stock-based compensation expense of $1.7 million driven by additional equity awards granted, as well as employer contributions to our 401(k) plan, reflecting a matching program effective January 1, 2026.</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Professional consulting services and other expenses decreased by $6.4 million, to $7.5 million for the three months ended March 31, 2026, from $13.9 million for the three months ended March 31, 2025, primarily due to ACELYRIN Merger transaction costs incurred in the prior year and a decrease in consulting and accounting costs, partially offset by an increase in legal and market research services to support our growth and business development activities.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Total other income (expense), net increased by $2.8 million, to $5.4 million for the three months ended March 31, 2026, from $2.6 million for the three months ended March 31, 2025.</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Interest income increased by $2.7 million, to $5.3 million for the three months ended March 31, 2026, from $2.6 million for the three months ended March 31, 2025, primarily due to higher balances of cash equivalents and marketable securities held.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Capital Resources and Capital Requirements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Since our inception, we have primarily funded our operations through the issuance of common stock, including in connection with the ACELYRIN Merger and our IPO and a concurrent private placement transaction, the issuance of redeemable convertible preferred stock and convertible promissory notes in private placements, and, most recently, the public offering of common stock which closed on January 9, 2026, as well as cash payments received under the Kaken Collaboration Agreement.</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our existing cash, cash equivalents and marketable securities of $569.5 million as of March 31, 2026, will be sufficient to meet our operating and capital requirements for at least 12 months from the date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issuance of the unaudited condensed consolidated financial statements included in Part I Item 1 of this Quarterly Report on Form 10-Q. We expect to continue to incur substantial losses for the foreseeable future, and our transition to profitability will depend upon successful development, approval and commercialization of our product candidates and upon achievement of sufficient revenues to support our cost structure. We do not expect to generate any revenue from commercial product sales unless and until we successfully complete development and obtain regulatory approval for one or more of our product candidates. We may never achieve profitability, and unless we do and until then, we will need to continue to raise additional capital. We will need to raise significant additional capital to fund ongoing research and development activities and maintain future operations.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continuously monitor and, where necessary, may reduce our operating expenses in response to our clinical development progress and our ability and need to raise additional capital through a combination of public and private equity, debt financings, strategic alliances, and licensing arrangements. For example, should any of our ongoing trials not meet our clinical development objectives, we may scale back or discontinue related activities and reallocate our working capital to extend our ability to meet our operating and capital requirements. Our ability to access capital when needed is not assured and, if capital is not available to us when, and in the amounts, needed, on the terms which are favorable, we could be required to delay, scale back, or abandon some or all of our planned development programs and other operations, which could materially harm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primary uses of cash are to fund our operations, which consist primarily of research and development expenditures related to our programs and, to a lesser extent, general and administrative expenditures. We anticipate that we will continue to incur significant and increasing expenses for the foreseeable future as we continue to advance our product candidates, expand our corporate infrastructure, including the costs associated with being a public company, further our research and development initiatives for our product candidates, and incur costs associated with potential commercialization. We are subject to all of the risks typically related to the development of new drug candidates,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92"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agreements with third parties. Because of the numerous risks and uncertainties associated with biopharmaceutical product development, we may never achieve or sustain profitability and, unless and until we are able to develop and commercialize our product candidates, we will need to continue to raise additional capital. Until such time as we can generate significant revenue from product sales, if ever, we expect to finance our operations through public or private equity or debt financings, or potentially other capital sources, such as collaboration or licensing arrangements with third parties or other strategic transactions. There are no assurances that we will be successful in obtaining an adequate level of financing to support our business plans when needed on acceptable terms, or at all, and our ability to raise additional capital may be adversely impacted by worsening global economic conditions and the recent disruptions to, and volatility in, the credit and financial markets in the U.S. and worldwide resulting from the effects of ongoing military conflicts, inflationary pressures, potential future bank failures, or otherwise. In this regard, the ongoing Russia-Ukraine military conflict and the ongoing military conflict involving the U.S., Israel and Iran have created extreme volatility in the global credit and financial markets and have had and may continue to have further global economic consequences, including continued disruptions of the global supply chain and energy markets, which could continue to drive inflationary pressures and increase global recession risk. Accordingly, we could experience an inability to access additional capital or our liquidity could otherwise be impacted.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additional funds through collaboration or licensing arrangements with third parties or other strategic transactions, we may have to relinquish rights to our intellectual property, future revenue streams, research programs, or product candidates or grant licenses on terms that may not be favorable to us. If we are unable to raise capital as and when needed, or on attractive terms, we may have to significantly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delay, reduce, or discontinue the development and commercialization of our product candidates or scale back or terminate our pursuit of new in-licenses and acquisitions.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products, we are unable to estimate the exact amount of our operating capital requirements. Our future funding requirements will depend on many factors, including the following:</w:t>
      </w:r>
    </w:p>
    <w:p>
      <w:pPr>
        <w:spacing w:after="0" w:line="176" w:lineRule="exact"/>
        <w:rPr>
          <w:sz w:val="20"/>
          <w:szCs w:val="20"/>
          <w:color w:val="auto"/>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scope, progress and results of our preclinical studies and clinical trials for our current and future product candidates;</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number, scope and duration of clinical trials required for regulatory approval of our current and future product candidates;</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outcome, timing and cost of seeking and obtaining regulatory approvals from the FDA and comparable foreign regulatory authorities for our product candidates;</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manufacturing clinical and commercial supplies as well as scale up of our current and future product candidates;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increase in the number of our employees and expansion of our physical facilities to support growth initiatives;</w:t>
      </w:r>
    </w:p>
    <w:p>
      <w:pPr>
        <w:spacing w:after="0" w:line="198"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establish new, strategic collaborations, licensing or other arrangements;</w:t>
      </w:r>
    </w:p>
    <w:p>
      <w:pPr>
        <w:spacing w:after="0" w:line="184"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filing and prosecuting our patent applications, and maintaining and enforcing our patents and other intellectual property rights;</w:t>
      </w:r>
    </w:p>
    <w:p>
      <w:pPr>
        <w:spacing w:after="0" w:line="12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we acquire or in-license other product candidates and technologies;</w:t>
      </w:r>
    </w:p>
    <w:p>
      <w:pPr>
        <w:spacing w:after="0" w:line="198"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 of defending intellectual property disputes, including patent infringement actions brought by third parties against our product candidates;</w:t>
      </w:r>
    </w:p>
    <w:p>
      <w:pPr>
        <w:spacing w:after="0" w:line="12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of when we pay our operating expenses;</w:t>
      </w:r>
    </w:p>
    <w:p>
      <w:pPr>
        <w:spacing w:after="0" w:line="184"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effect of competing technological and market developments;</w:t>
      </w:r>
    </w:p>
    <w:p>
      <w:pPr>
        <w:spacing w:after="0" w:line="198"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and timing of future commercialization activities, including product manufacturing, marketing, sales and distribution, for any of our product candidates for which we receive marketing approval;</w:t>
      </w:r>
    </w:p>
    <w:p>
      <w:pPr>
        <w:spacing w:after="0" w:line="12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amount of revenue, if any, received from commercial sales of our product candidates, should any of our product candidates receive marketing approval;</w:t>
      </w:r>
    </w:p>
    <w:p>
      <w:pPr>
        <w:spacing w:after="0" w:line="12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implementation of various computerized informational systems and efforts to enhance operational systems;</w:t>
      </w:r>
    </w:p>
    <w:p>
      <w:pPr>
        <w:spacing w:after="0" w:line="198"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associated with being a public company; and</w:t>
      </w:r>
    </w:p>
    <w:p>
      <w:pPr>
        <w:spacing w:after="0" w:line="184"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factors, including economic uncertainty and geopolitical tensions, which may exacerbate the magnitude of the factors discussed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2026 and 2025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56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73"/>
        </w:trPr>
        <w:tc>
          <w:tcPr>
            <w:tcW w:w="5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380" w:type="dxa"/>
            <w:vAlign w:val="bottom"/>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(87,082)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(80,355)</w:t>
            </w:r>
          </w:p>
        </w:tc>
      </w:tr>
      <w:tr>
        <w:trPr>
          <w:trHeight w:val="216"/>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(285,686)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39,428</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(40,927)</w:t>
            </w:r>
          </w:p>
        </w:tc>
      </w:tr>
      <w:tr>
        <w:trPr>
          <w:trHeight w:val="20"/>
        </w:trPr>
        <w:tc>
          <w:tcPr>
            <w:tcW w:w="5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$87.1 million and $80.4 million for the three months ended March 31, 2026 and 2025, respectively.</w:t>
      </w:r>
    </w:p>
    <w:p>
      <w:pPr>
        <w:spacing w:after="0" w:line="13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included net loss of $93.1 million and changes in operating assets and liabilities of $6.3 million, partially offset by non-cash items totaling $12.3 million. Non-cash items included $12.3 million related to stock-based compensation expense, $0.9 million related to depreciation and amortization, $0.6 million related to non-cash lease expense and $0.4 million related to impairment of long-lived assets, partially offset by $2.0 million related to net accretion of discounts on marketable securities. The changes in operating assets and liabilities included a decrease of $9.7 million in other accrued expenses and current liabilities, a decrease of $1.2 million in operating lease liabilities, an increase of $0.5 million in other assets, non-current, and an increase of $0.4 million in research and development prepaid expenses, partially offset by an increase of $2.3 million in deferred revenue, an increase of $1.4 million in accounts payable, an increase of $1.2 million in research and development accrued expenses, and a decrease of $0.8 million in other prepaid expenses and other assets.</w:t>
      </w:r>
    </w:p>
    <w:p>
      <w:pPr>
        <w:spacing w:after="0" w:line="15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2025 was due to our net loss for the period of $99.0 million partially offset by changes in operating assets and liabilities of $11.5 million and non-cash items totaling $7.1 million. Non-cash items included $7.0 million related to stock-based compensation expense, $0.8 million related to depreciation and amortization and $0.3 million related to non-cash lease expense, partially offset by net accretion of discounts on marketable securities of $1.0 million. The changes in operating assets and liabilities primarily includes an increase of $5.6 million in research and development accrued expenses, an increase of $5.0 million in other accrued expenses and current liabilities, an increase of $2.6 million in deferred revenue, a decrease of $0.6 million in other prepaid expenses and other assets, a decrease of $0.6 million in research and development prepaid expenses, partially offset by a decrease of $2.2 million in accounts payable and a decrease of $0.6 million in operating lease liabilities.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0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of $285.7 million was related to purchases of marketable securities of $428.4 million and purchases of property and equipment of $0.2 million, partially offset by proceeds from maturities of marketable securities of $142.9 million.</w:t>
      </w:r>
    </w:p>
    <w:p>
      <w:pPr>
        <w:spacing w:after="0" w:line="13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three months ended March 31, 2025 of $39.4 million was related to proceeds from maturities of marketable securities of $64.0 million, partially offset by purchases of marketable securities of $24.5 million.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of $347.0 million was related to proceeds from public offering of common stock, net of underwriting discounts, commissions and offering costs of $323.8 million and proceeds of common stock upon exercise of stock options of $23.2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operating lease arrangements for office and laboratory space in South San Francisco, California and office space in Southern California. As of March 31, 2026, we had total undiscounted lease payment obligations under non-cancelable leases of $50.7 million, including $6.3 million payable through December 31, 2026. See Note 9 to our unaudited condensed consolidated financial statements included in Part I, Item 1 of this Quarterly Report on Form 10-Q for additional information.</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FronThera Contingent Consideration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March 5, 2021, we entered into the FronThera Acquisition, and the transaction was accounted for as an asset acquisition. Under the stock purchase agreement, we are obligated to pay contingent consideration of up to an aggregate of $120.0 million based on the achievement of specified clinical and approval milestones, including receipt of first commercialization approval in the United States or certain other jurisdictions, of up to an aggregate of $70.0 million payable for clinical milestones, and of up to an aggregate of $50.0 million payable for approval milestones, all related to technology acquired under the agreement. In the year ended December 31, 2022, we incurred and made a $37.0 million milestone payment for the first administration of envu to a patient enrolled in a Phase 2 clinical trial of envu, which was recorded in research and development expenses in the consolidated statement of operations and comprehensive loss. In July 2024, we met a milestone in connection with the first administration of envu to a patient enrolled in a Phase 3 clinical trial of envu and made a $23.0 million milestone payment in August 2024, which was recorded in research and development expenses in the consolidated statement of operations and comprehensive loss for the year ended December 31, 2024. No additional milestones were achieved or were probable of being achieved as of March 31, 2026.</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License and Commercialization Agreement with Pierre Fabre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Upon the closing of the ACELYRIN Merger, we became the successor to ACELYRIN’s rights and obligations under the Pierre Fabre Agreement. We received certain exclusive worldwide licenses with the right to sublicense certain patents, know-how and other intellectual property to develop, manufacture, use and commercialize lonigutamab for non-oncology therapeutic indications. The license from Pierre Fabre extends to any product containing lonigutamab (excluding any fragments or derivatives) as its sole active ingredient (each, a “PF Licensed Product”). The Pierre Fabre Agreement prohibits us from using the licensed intellectual property in any antibody drug conjugate, multi-specific antibodies or any other derivatives of lonigutamab.</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obligated to (i) make payments of up to $100.5 million upon the achievement of various development and regulatory milestones, (ii) make milestone payments of up to $390.0 million upon the achievement of certain commercial milestones, and (iii) pay tiered royalties in the high single-digit to low-teen percentages to Pierre Fabre on worldwide net sales in a given calendar year. Royalties will be payable for each PF Licensed Product in a given country during a period commencing upon the first commercial sale of such PF Licensed Product in such country and continuing until the latest of</w:t>
      </w:r>
    </w:p>
    <w:p>
      <w:pPr>
        <w:spacing w:after="0" w:line="3" w:lineRule="exact"/>
        <w:rPr>
          <w:sz w:val="20"/>
          <w:szCs w:val="20"/>
          <w:color w:val="auto"/>
        </w:rPr>
      </w:pPr>
    </w:p>
    <w:p>
      <w:pPr>
        <w:jc w:val="both"/>
        <w:ind w:left="60" w:right="59" w:hanging="10"/>
        <w:spacing w:after="0" w:line="252" w:lineRule="auto"/>
        <w:tabs>
          <w:tab w:leader="none" w:pos="30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after such first commercial sale, (b) expiration of last-to-expire valid claim in a licensed patent in such country and (c) expiration of regulatory exclusivity for such PF Licensed Product in such country. In the event we enter into a sublicense with a third party, we must also share with Pierre Fabre a percentage of any revenues from option fees, upfront payments, license maintenance fees, milestone payments or the like generated from the sublicense. Such percentage may be between the high single-digits to the low thirties based on which stage of development of a PF Licensed Product the sublicense relates to.</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Unless earlier terminated, the Pierre Fabre Agreement will continue on a PF Licensed Product-by-PF Licensed Product and country-by-country basis until there are no more royalty payments owed to Pierre Fabre on any PF Licensed Product thereunder. Either party may terminate the Pierre Fabre Agreement upon an uncured material breach, or upon the bankruptcy or insolvency of the other party. Pierre Fabre may also terminate the agreement if we or any of our affiliates institutes a patent challenge against the licensed patents from Pierre Fabre. We may also terminate the Pierre Fabre Agreement with or without cause upon nine months’ prior written notice, so long as there is no ongoing clinical trial for any PF Licensed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milestones were achieved or were probable of being achieved as of March 31, 2026.</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suppliers, CROs, CMOs and clinical trial sites. Upon the closing of the ACELYRIN Merger, we became the successor to contracts with non-cancellable obligations under ACELYRIN contracts. The total value of non-cancellable obligations under contracts was $1.5 million as of March 31, 2026. This presentation of non-cancellable purchase obligations does not include any estimates of potential reduction of such liabilities related to mitigation obligations of the counterparties in the event of cancellation under the terms of our engagements.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4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unaudited condensed consolidated financial statements included in Part I, Item 1 of this Quarterly Report on Form 10-Q.</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U.S. GAAP. The preparation of these unaudited condensed consolidated financial statements requires us to make estimates and assumptions that affect the reported amounts of assets and liabilities, the disclosure of contingent assets and liabilities at the date of the financial statements, and the reported expenses during the reporting period. Our critical accounting policies are described under the heading “Management’s Discussion and Analysis of Financial Condition and Results of Operations—Critical Accounting Policies and Significant Judgments and Estimates” in the Annual Report on Form 10-K filed with the SEC on March 19, 2026. If actual results or events differ materially from the estimates and assumptions used by us in applying these policies, our reported financial condition and results of operations could be materially affected. There have been no material changes to our critical accounting policies from those described in the Annual Report on Form 10-K.</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Under the JOBS Act, an emerging growth company can take advantage of the extended transition period for complying with new or revised accounting standards and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Subject to certain conditions, as an emerging growth company, we may rely on certain of these exemptions, including without limitation exemptions to the requirements for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to occur of (a) the last day of the fiscal year (A) following the fifth anniversary of the completion of our IPO, (B) in which we have total annual gross revenues of at least $1.235 billion or (C) in which we are deemed to be a “large accelerated filer” under the rules of the SEC, which means the market value of our common stock and non- voting common stock that is held by non-affiliates exceeds $700.0 million as of the prior June 30th, or </w:t>
      </w:r>
      <w:r>
        <w:rPr>
          <w:rFonts w:ascii="Times New Roman" w:cs="Times New Roman" w:eastAsia="Times New Roman" w:hAnsi="Times New Roman"/>
          <w:sz w:val="18"/>
          <w:szCs w:val="18"/>
          <w:color w:val="231F20"/>
        </w:rPr>
        <w:t>(b) the date on which we have issued more than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billion in non-convertible debt during the prior three-year period.</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as defined in Rule 12b-2 of the Exchange Act, meaning that the market value of our common stock and non-voting common stock held by non-affiliates was less than $250.0 million as of June 30, 2025. We may continue to be a smaller reporting company if either (i) the market value of our common stock and non-voting common stock held by non-affiliates is less than $250.0 million measured on the last business day of our second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fiscal quarter or (ii) our annual revenue is less than $100.0 million during the most recently completed fiscal year and the market value of our common stock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ensure liquidity and to preserve capital. We are exposed to market risks related to changes in interest rates of our cash equivalents and marketable securities. However, due to the nature of these cash equivalents and marketable securities, we do not believe that a hypothetical 10% increase or decrease in interest rates during any of the periods presented would have had a material effect on our unaudited condensed consolidated financial statements included in Part I, Item 1 of this Quarterly Report on Form 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 of our employees and our operations are currently located in the United States, and our expenses are generally denominated in U.S. dollars. However, we do utilize certain CRO and CMO vendors outside of the United States for our clinical trials and product development and manufacturing.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unaudited condensed consolidated financial statements included in Part I, Item 1 of this Quarterly Report on Form 10-Q.</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research and development costs. We do not believe that inflation had a material effect on our business, results of operations, or financial condition, or on our unaudited condensed consolidated financial statements included in Part I, Item 1 of this Quarterly Report on Form 10-Q.</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March 31, 2026, management, with the participation and supervision of our Chief Executive Officer and our Chief Financial Officer, have evaluated our disclosure controls and procedures as defined in Rules 13a-15(e) and 15d-15(e) under the Exchange Act. Based on that evaluation, our Chief Executive Officer and our Chief Financial Officer have concluded that, as of March 31, 2026,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November 15, 2023, a purported federal securities class action lawsuit was commenced in the United States District Court for the Central District of California. On February 15, 2024, the Court appointed joint lead plaintiffs and lead counsel. An amended complaint was filed on March 26, 2024 (Boukadoum v. Acelyrin, Inc. et al., No. 2:23-cv-09672-FMO-MAA), naming ACELYRIN and then-current and former executive officers and directors as defendants. The complaint alleges that the defendants violated the Exchange Act and Securities Act by misleading investors about the Phase 2b trial of izokibep in hidradenitis suppurativa. The original complaint was filed following ACELYRIN’s announcement of the week 16 results from the Part B portion of such Phase 2b trial. The amended complaint seeks damages and an award of reasonable costs and expenses, including attorneys’ fees, expert fees and other costs, as well as such other and further relief as the court may deem just and proper. On May 3, 2024, the defendants filed their motion to dismiss the amended complaint, which was granted by the court, with leave to amend, in January 2026. On February 5, 2026, the plaintiffs filed a second amended complaint, which seeks damages and an award of reasonable costs and expenses, as well as such other and further relief as the court may deem just and proper. On February 19, 2026, the defendants filed their motion to dismiss the second amended complaint, which remains pending. It is possible that additional suits will be filed, or allegations made by stockholders, with respect to these same or other matters and also naming us and/or our officers and directors as defendants. This lawsuit and any other potential lawsuits are subject to inherent uncertainties, and the actual defense and disposition costs will depend upon many unknown factors. We could be forced to expend significant resources in the defense against this and any other related lawsuits and we may not prevail.</w:t>
      </w:r>
    </w:p>
    <w:p>
      <w:pPr>
        <w:spacing w:after="0" w:line="19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additional legal proceedings arising in the ordinary course of business. Regardless of outcome, such proceedings or claims can have an adverse impact on us because of defense and settlement costs, diversion of resources, negative publicity, reputational harm and other factors, and there can be no assurances that favorable outcomes will be obtained.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Before deciding to invest in shares of our common stock, you should carefully consider the risks described below, together with the other information contained in this Quarterly Report on Form 10-Q, including our unaudited condensed consolidated financial statements and the related notes and the section titled “Management’s Discussion and Analysis of Financial Condition and Results of Operations” included elsewhere in this Quarterly Report on Form 10-Q. We cannot assure you that any of the events discussed below will not occur. These events could adversely impact our business, financial condition, results of operations and prospects. If that were to happen, the trading price of our common stock could decline, and you could lose all or part of your investment.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spacing w:after="0" w:line="180" w:lineRule="exact"/>
        <w:rPr>
          <w:sz w:val="20"/>
          <w:szCs w:val="20"/>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a clinical stage biopharmaceutical company with a limited operating history and no products approved for commercial sale, and have incurred substantial losses since our inception and anticipate incurring substantial and increasing losses for the foreseeable future.</w:t>
      </w:r>
    </w:p>
    <w:p>
      <w:pPr>
        <w:spacing w:after="0" w:line="17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Enrollment and retention of participants in clinical trials is an expensive and time-consuming process and could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231F20"/>
        </w:rPr>
        <w:t>be made more difficult or rendered impossible by multiple factors outside our control, including difficulties in identifying patients, the availability of competitive products and significant competition for recruiting participants in clinical trials.</w:t>
      </w:r>
    </w:p>
    <w:p>
      <w:pPr>
        <w:spacing w:after="0" w:line="176" w:lineRule="exact"/>
        <w:rPr>
          <w:sz w:val="20"/>
          <w:szCs w:val="20"/>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will require substantial additional financing to achieve our goals, and failure to obtain additional capital when needed, or on acceptable terms to us, could cause us to delay, limit, reduce or terminate our product development or future commercialization efforts.</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179"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clinical trials may reveal serious adverse events (“SAEs”) and significant adverse events (“AEs”) and may result in a safety or tolerability profile that could delay or prevent regulatory approval or market acceptance of envu, A-005 or any future product candidates.</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face competition from entities that have made substantial investments into the rapid development of competitor treatments for immunological indications, including large and specialty pharmaceutical and biotechnology companies, many of which already have approved therapies and/or candidates under development in our current indications.</w:t>
      </w:r>
    </w:p>
    <w:p>
      <w:pPr>
        <w:spacing w:after="0" w:line="247" w:lineRule="exact"/>
        <w:rPr>
          <w:rFonts w:ascii="Times New Roman" w:cs="Times New Roman" w:eastAsia="Times New Roman" w:hAnsi="Times New Roman"/>
          <w:sz w:val="18"/>
          <w:szCs w:val="18"/>
          <w:color w:val="231F20"/>
        </w:rPr>
      </w:pPr>
    </w:p>
    <w:p>
      <w:pPr>
        <w:jc w:val="both"/>
        <w:ind w:left="720" w:right="79" w:hanging="319"/>
        <w:spacing w:after="0" w:line="258"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business is highly dependent on the success of our most advanced product candidate, envu, and we cannot guarantee that envu will successfully complete development, receive regulatory approval or be successfully commercialized. If we are unable to develop, receive regulatory approval for and ultimately successfully commercialize our product candidates, or if we experience significant delays in doing so, our business will be materially harmed.</w:t>
      </w:r>
    </w:p>
    <w:p>
      <w:pPr>
        <w:spacing w:after="0" w:line="183"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are dependent on the services of our management team and other clinical and scientific personnel, and if we are not able to retain these individuals or recruit additional management or clinical and scientific personnel, our business will suffer.</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58"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183" w:lineRule="exact"/>
        <w:rPr>
          <w:rFonts w:ascii="Times New Roman" w:cs="Times New Roman" w:eastAsia="Times New Roman" w:hAnsi="Times New Roman"/>
          <w:sz w:val="18"/>
          <w:szCs w:val="18"/>
          <w:color w:val="231F20"/>
        </w:rPr>
      </w:pPr>
    </w:p>
    <w:p>
      <w:pPr>
        <w:jc w:val="both"/>
        <w:ind w:left="720" w:right="79" w:hanging="319"/>
        <w:spacing w:after="0" w:line="261"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cannot ensure that patent rights relating to inventions described and claimed in our or any current or future licensors’ and licensees’ pending patent applications will issue or that patents based on our or any current or future licensors’ and licensees’ patent applications will not be challenged and rendered invalid and/or unenforceable.</w:t>
      </w:r>
    </w:p>
    <w:p>
      <w:pPr>
        <w:spacing w:after="0" w:line="179"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and may continue to form or seek collaborations or strategic alliances or enter into licensing arrangements in the future, and we may neither enter into, nor realize the benefits of, such alliances or licensing arrangements.</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Even if we receive regulatory approval for our product candidates, we will be subject to ongoing regulatory obligations and continued regulatory review, which may result in significant additional expense. Additionally,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231F20"/>
        </w:rPr>
        <w:t>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176" w:lineRule="exact"/>
        <w:rPr>
          <w:sz w:val="20"/>
          <w:szCs w:val="20"/>
          <w:color w:val="auto"/>
        </w:rPr>
      </w:pPr>
    </w:p>
    <w:p>
      <w:pPr>
        <w:jc w:val="both"/>
        <w:ind w:left="720" w:right="79" w:hanging="319"/>
        <w:spacing w:after="0" w:line="256" w:lineRule="auto"/>
        <w:tabs>
          <w:tab w:leader="none" w:pos="7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and the third parties with whom we work are subject to stringent and evolving U.S. and foreign laws, regulations, rules; contractual obligations; policies; and other obligations related to data privacy and security. Our (including the third parties with whom we work) actual or perceived failure to comply with such obligations could lead to regulatory investigations or actions; litigation; fines and penalties; disruptions of our business operations; reputational harm; loss of revenue or profits; and other adverse consequences for our business, results of operations and financial condition</w:t>
      </w:r>
    </w:p>
    <w:p>
      <w:pPr>
        <w:spacing w:after="0" w:line="187"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have conflicts with any current or future licensors, licensees, collaborators or strategic partners that could delay or prevent the development or commercialization of our product candidates.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clinical stage biopharmaceutical company with a limited operating history and no products approved for commercial sale, and have incurred substantial losses since our inception and anticipate incurring substantial and increasing losses for the foreseeable future.</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a clinical stage biopharmaceutical company with a limited operating history on which to base your investment decision. We have no product candidates approved for commercial sale and have not generated any revenue. Biopharmaceutical product development is a highly speculative undertaking. It entails substantial upfront capital expenditures and significant risk that any product candidate will fail to demonstrate adequate efficacy or an acceptable safety profile, gain regulatory approval or become commercially viable.</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most advanced candidate is envu, an oral, small molecule allosteric inhibitor of TYK2. We are currently conducting a Phase 2 open-label extension trial, as well as a Phase 3 LTE trial of envu in PsO and a Phase 2b clinical trial of envu in SLE. In addition, we are advancing A-005, an investigational CNS penetrant allosteric inhibitor of TYK2 that has a potential application in multiple sclerosis and other neuroinflammatory and neurodegenerative diseases, currently in Phase 1 clinical development. Our ability to achieve profitability in the future is dependent upon obtaining regulatory approval for and successfully commercializing our most advanced candidate, envu, either alone or with third parties. However, our operations may not be profitable even if envu is successfully developed, approved and thereafter commercialized.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and will continue to incur significant development and other expenses related to our research and clinical development programs and ongoing operations. For the three months ended March 31, 2026 and 2025, we incurred net loss of $93.1 million and $99.0 million, respectively. As of March 31, 2026, we had an accumulated deficit of $994.9 million. Substantially all of our losses have resulted from expenses incurred in connection with the acquisition and development of our pipeline and from general and administrative costs associated with our operations. We expect to incur significant losses for the foreseeable future, and we expect these losses to increase as we continue our development of our product candidates.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225"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and clinical trials for envu, A-005 and potential future programs;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75"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additional product candidates and acquire rights from third parties to those product candidates through licenses or other acquisitions, and conduct development activities, including preclinical studies and clinical trials;</w:t>
      </w:r>
    </w:p>
    <w:p>
      <w:pPr>
        <w:spacing w:after="0" w:line="38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the manufacturing of preclinical, clinical and commercial supply of our current and future product candidates;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or any future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current product candidates or any future product candidates, if approved;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steps toward our goal of being an integrated biopharma company capable of supporting commercial activities, including establishing sales, marketing and distribution infrastructure;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clinical, scientific, operations and management personnel;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and maintain operational, financial and information management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maintain, enforce and defend our rights in our intellectual property portfolio;</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third-party interference, infringement and other intellectual property claims, if any;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competing therapies and market developments;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in our preclinical studies or clinical trials and seeking regulatory approval for our product candidates due to public health concerns, macroeconomic conditions or geopolitical conflicts;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operating as a public company.</w:t>
      </w:r>
    </w:p>
    <w:p>
      <w:pPr>
        <w:spacing w:after="0" w:line="225"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Even if we succeed in commercializing one or more product candidates, we expect to incur substantial development costs and other expenditures to develop and market additional product candidates. We may also encounter unforeseen expenses, difficulties, complications, delays and other unknown factors that may adversely affect our business. The size of our future net losses will depend, in part, on the rate of future growth of our expenses and our ability to generate revenue or raise additional capital. Our prior losses and expected future losses have had and will continue to have an adverse effect on our stockholders’ equity and our working capital.</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put on clinical hold or terminated by us, the institutional review boards (“IRBs”) or ethics committees of the institutions in which such trials are being conducted, the FDA or other comparable foreign regulatory authorities, or if a clinical trial is recommended for suspension or termination by the Data Safety Monitoring Board for such trial. A suspension, clinical hold or termination may be imposed due to a number of factors, including failure to conduct the clinical trial in accordance with regulatory requirements or our clinical protocols, failure by our CROs or clinical trial sites to perform in accordance with good clinical practices (“GCP”) requirements, or applicable regulatory guidelines in other countries, inspection of the clinical trial operations or trial site by the FDA or other comparable foreign regulatory authorities resulting in the imposition of a clinical hold, unforeseen safety issues or adverse side effects, failure to establish or achieve clinically meaningful trial endpoints, changes in governmental regulations or administrative actions or lack of adequate funding to continue the clinical trial.</w:t>
      </w:r>
    </w:p>
    <w:p>
      <w:pPr>
        <w:spacing w:after="0" w:line="200" w:lineRule="exact"/>
        <w:rPr>
          <w:sz w:val="20"/>
          <w:szCs w:val="20"/>
          <w:color w:val="auto"/>
        </w:rPr>
      </w:pPr>
    </w:p>
    <w:p>
      <w:pPr>
        <w:spacing w:after="0" w:line="21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Clinical trials may also be delayed or terminated as a result of ambiguous or negative interim results. For example, we discontinued our proof-of-concept Phase 2a clinical trial of envu in patients with non-infectious uveitis in June 2024 based on the efficacy results of a data analysis prepared for a scheduled monitoring committee meeting, which efficacy results did not meet our clinical threshold for success despite safety results consistent with envu’s safety profile in psoriasis patients. Many of the factors that cause, or lead to, a delay in the commencement or completion of clinical trials may also ultimately lead to the denial of regulatory approval of our product candidates. Further, the FDA or other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may also, in the future, conduct preclinical and clinical research in collaboration with other academic, pharmaceutical and biotechnology entities in which we combine our research or development efforts with those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5" w:lineRule="auto"/>
        <w:rPr>
          <w:sz w:val="20"/>
          <w:szCs w:val="20"/>
          <w:color w:val="auto"/>
        </w:rPr>
      </w:pPr>
      <w:r>
        <w:rPr>
          <w:rFonts w:ascii="Times New Roman" w:cs="Times New Roman" w:eastAsia="Times New Roman" w:hAnsi="Times New Roman"/>
          <w:sz w:val="18"/>
          <w:szCs w:val="18"/>
          <w:color w:val="auto"/>
        </w:rPr>
        <w:t>our collaborators. Such collaborations may be subject to additional delays because of the management of the trials, contract negotiations, the need to obtain agreement from multiple parties and may increase our future costs and expenses.</w:t>
      </w:r>
    </w:p>
    <w:p>
      <w:pPr>
        <w:spacing w:after="0" w:line="39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regulatory approvals. We do not know whether any of our clinical trials will begin as planned, will need to be restructured or will be completed on schedule, or at all.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Any delays or increase in costs in our clinical development programs may harm our business, financial condition, results of operations and prospects.</w:t>
      </w:r>
    </w:p>
    <w:p>
      <w:pPr>
        <w:spacing w:after="0" w:line="39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Enrollment and retention of participants in clinical trials is an expensive and time-consuming process and could be made more difficult or rendered impossible by multiple factors outside our control, including difficulties in identifying patients, the availability of competitive products and significant competition for recruiting participants in clinical trials.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Participant enrollment, a significant factor in the timing of clinical trials, is affected by many conditions, including the size and nature of the patient population, the number and location of clinical sites we enroll, the proximity of participants to clinical sites, the eligibility and exclusion criteria for the trial, the design of the clinical trial, the inability to obtain and maintain participant consents, the risk that enrolled participants will drop out before completion, competing clinical trials and clinicians’ and patients’ perceptions as to the potential advantages of the product candidate being studied in relation to other available therapies, including any new drugs or biologics that may be approved for the indications being investigated by us. Risks related to patient enrollment are heightened in longer clinical trials, including the 48-week trial period contemplated by our ongoing Phase 2b clinical trial of envu in SLE. In particular, this trial has been and may continue to be challenging to enroll due to the fact that patients must be experiencing active disease at the time of screening to be eligible for enrollment. In addition, our clinical trials will compete with other clinical trials for product candidates that are in the same areas as our product candidates, and this competition will reduce the number and types of participants available to us, because some participants who might have opted to enroll in our trials may instead opt to enroll in a trial being conducted by one of our competitors, or to use currently marketed therapies. Additionally, participants, including participants in any control groups, may withdraw from the clinical trial if they are not experiencing improvement in their underlying disease or condition or if they experience other difficulties or issues. Additionally, we could encounter delays if treating clinicians encounter unresolved ethical issues associated with enrolling participants in clinical trials of our product candidates in lieu of prescribing existing treatments that have established safety and efficacy profiles.</w:t>
      </w:r>
    </w:p>
    <w:p>
      <w:pPr>
        <w:spacing w:after="0" w:line="19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in the past experienced and expect to continue to experience participant withdrawals or discontinuations from our trials. For example, as long-term treatment with envu continues to be evaluated in our STRIDE OLE, ONWARD3 LTE study and LUMUS Part B OLE, we expect to see discontinuation rates rise over time. Withdrawal of participants from our clinical trials may compromise the quality of our data. Even if we are able to enroll a sufficient number of participants in our clinical trials, delays in enrollment or small population size may result in increased costs or may affect the timing or outcome of our clinical trials. Any of these conditions may negatively impact our ability to complete such trials or include results from such trials in regulatory submissions, which could adversely affect our ability to advance the development of our product candidates.</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failure to obtain additional capital when needed, or on acceptable terms to us, could cause us to delay, limit, reduce or terminate our product development or future commercialization efforts.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offerings, debt financings, or other capital sources, including potential collaborations, licenses and other similar arrangements. For example, in March 2026, we entered into a Sales Agreement with Cantor, pursuant to which we may offer and sell, from time to time through Cantor, at our option, shares of our common stock having an aggregate offering price of up to $300.0 million. To the extent that we raise additional capital through the sale of equity or convertible debt securities, including pursuant to sales under the Sales Agreement, your ownership interest will be diluted, and the terms of these securities may include liquidation or other preferences that adversely affect your rights as a holder of our common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stock. Any future debt financing and preferred equity financing, if available, may involve agreements that include covenants limiting or restricting our ability to take specific actions, such as incurring additional debt, selling or licensing our assets, making capital expenditures, declaring dividends or encumbering our assets to secure future indebtedness. Such restrictions could adversely impact our ability to conduct our operations and execute our business plan. We could also be required to seek collaborators for product candidates at an earlier stage than otherwise would be desirable or on terms that are less favorable than might otherwise be available or relinquish or license on unfavorable terms our rights to product candidates in markets where we otherwise would seek to pursue development or commercialization ourselves.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 we will need to raise additional financing to continue our products’ development for the foreseeable future, and until we become profitable, if ever. Any additional fundraising efforts may divert our management from our day-to-day activities, which may adversely affect our ability to develop and commercialize product candidates. We cannot be certain that additional funding will be available on acceptable terms, or at all. If we are unable to obtain funding when and as needed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 Any of the above events could significantly harm our business, prospects, financial condition and results of operations and cause the price of our common stock to decline.</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Product Candidate Development and Commercialization</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current product candidates or any future product candidates.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product candidates are either in clinical or preclinical development, and their risk of failure is high. It is impossible to predict when or if our product candidates will receive regulatory approval. To obtain the requisite regulatory approvals to commercialize any product candidates, we must demonstrate through extensive preclinical studies and lengthy, complex and expensive clinical trials that our product candidates are safe and effective in humans for their intended uses. Before obtaining approval from regulatory authorities for the commercialization of any of our product candidates, we must conduct extensive clinical trials to demonstrate the safety and efficacy of the product candidate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Investigational New Drug (“IND”) application or similar regulatory submission. The FDA or comparable foreign regulatory authorities may require us to conduct additional preclinical studies for any product candidate before allowing us to initiate clinical trials under any IND or similar regulatory submission, which may lead to delays and increase the costs of our preclinical development programs.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Once initiated, clinical testing can take many years to complete, and its outcome is inherently uncertain. The results of preclinical studies and early clinical trials of our product candidates may not be predictive of the results of later-stage clinical trials and results in one indication may not be predictive of results to be expected for the same product candidate in another indication. For example, lonigutamab’s potential to improve on the safety and side-effect profile of the sole currently-approved therapy in the United States for the treatment of TED is unproven. In particular, if lonigutamab is shown to have similar adverse events or side effects as the existing therapy, or other safety or tolerability concerns, such as hearing impairment, then an opportunity to disrupt the current standard of care in TED will be limited or precluded altogether. In this regard, ACELYRIN observed certain adverse events in its Phase 2 clinical trial of lonigutamab including, without limitation, headache, tinnitus and injection site reactions. Following completion of our strategic review of the lonigutamab program, we decided to explore strategic alternatives for lonigutamab. There can be no assurance that any such strategic alternative will be successfully identified or consummated on favorable terms, if at all, and the foregoing observed adverse events, among other factors, could limit our ability to realize value from the program. Differences in trial design between early-stage clinical trials and later-stage clinical trials make it difficult to extrapolate the results of earlier clinical trials to later clinical trials. A number of companies in the biopharmaceutical industry have suffered significant setbacks in advanced clinical trials due to lack of efficacy or unfavorable safety profiles, notwithstanding promising results in earlier trials, and we have experienced and may experience setbacks in our programs in the future. For example, we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discontinued our proof-of-concept Phase 2a clinical trial of envu in patients with non-infectious uveitis in June 2024 based on the efficacy results of a data analysis prepared for a scheduled monitoring committee meeting, which efficacy results did not meet our clinical threshold for success despite safety results consistent with envu’s safety profile in psoriasis patients. Moreover, clinical data are often susceptible to varying interpretations and analyses, and many companies that have believed their product candidates performed satisfactorily in clinical trials have nonetheless failed to obtain regulatory approval of such product candidates.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Commencing any future clinical trials is subject to finalizing the trial design and submitting an application to the FDA or a comparable foreign regulatory authority. Even after we make our submission, the FDA or comparable foreign regulatory authorities could disagree that we have satisfied their requirements to commence our clinical trials or disagree with our study design, which may require us to complete additional trials or amend our protocols or impose stricter conditions on the commencement of clinical trials. There is typically a high rate of failure of product candidates proceeding through clinical trials, and failure can occur at any time during the clinical trial process. Most product candidates that commence clinical trials are never approved as products and there can be no assurance that any of our current or future clinical trials will ultimately be successful or support the approval of our current or any future product candidates.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expect to continue to rely on our CROs and clinical trial sites to ensure the proper and timely conduct of our clinical trials, including the participant enrollment process, and we have limited influence over their performance. We or any future collaborators may experience delays in initiating or completing clinical trials due to unforeseen events or otherwise, that could delay or prevent our ability to receive regulatory approval or commercialize our current and any future product candidates, including:</w:t>
      </w:r>
    </w:p>
    <w:p>
      <w:pPr>
        <w:spacing w:after="0" w:line="181" w:lineRule="exact"/>
        <w:rPr>
          <w:sz w:val="20"/>
          <w:szCs w:val="20"/>
          <w:color w:val="auto"/>
        </w:rPr>
      </w:pPr>
    </w:p>
    <w:p>
      <w:pPr>
        <w:ind w:left="720" w:right="79" w:hanging="319"/>
        <w:spacing w:after="0" w:line="284"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be unable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or continuation of clinical trials;</w:t>
      </w:r>
    </w:p>
    <w:p>
      <w:pPr>
        <w:spacing w:after="0" w:line="160"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such as the FDA or comparable foreign regulatory authorities, IRBs or ethics committees may impose additional requirements before permitting us to initiate a clinical trial, may not allow us or our investigators to commence or conduct a clinical trial at a prospective trial site, may not allow us to amend trial protocols or may require that we modify or amend our clinical trial protocols;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trial sites and CROs, the terms of which can be subject to extensive negotiation and may vary significantly;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recruit or train suitable clinical investigators;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may deviate from trial protocol or drop out of a trial;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unable to complete our clinical trials due to trial participant withdrawals and discontinuations due to AEs;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required for clinical trials may be larger than we anticipate, enrollment in clinical trials may be slower than we anticipate or participants may drop out or fail to return for post-treatment follow-up at a higher rate than we anticipate;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may be greater than we anticipate, or we may have insufficient funds to initiate or complete a clinical trial or to pay the substantial user fees required by the FDA upon the submission of an NDA or comparable marketing authorization application in another jurisdiction;</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quantity of data relating to our product candidates or other materials necessary to conduct our clinical trials may be inadequate to initiate or complete a given clinical trial;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from clinical testing of other therapies may raise safety, tolerability or efficacy concerns about our product candidates;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fail to show appropriate safety, tolerability or efficacy, may produce negative or inconclusive results or may otherwise fail to improve on the existing standard of care, and we may decide, or regulators may require us, to conduct additional clinical trials or we may decide to abandon product development programs;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trial sites may fail to perform in accordance with GCP requirements or other applicable regulations, rules or guidelines;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manufacture our product candidates from our CMOs in accordance with cGMP regulations or other applicable requirements in sufficient quantities for use in our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SAEs may occur in trials of the same class of agents conducted by other companies that could be considered similar to our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select clinical endpoints that require prolonged periods of clinical observation or extended analysis of the resulting data;</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transfer our manufacturing processes to larger-scale facilities operated by a different CMO, or may experience delays or failure by our CMOs or us to make any necessary changes to such manufacturing process; and</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be unwilling or unable to satisfy their contractual obligations to us in a timely manner.</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addition, we have historically leveraged our extensive analyses of immune-relevant genome-wide association study (“GWAS”) results from both the public domain and the UK Biobank biomedical resource to identify the right therapeutic target on which to focus our preclinical and clinical development efforts.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our access to GWAS results from the public domain or the UK Biobank biomedical resource were to be restricted, including as a result of any potential future legislative policies or regulations that may seek to restrict the sharing of genetic data, our ability to efficiently identify additional therapeutic targets may be limited.</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In the EU, the EU Clinical Trials Regulation (“CTR”) became applicable on January 31, 2022, repealing and replacing the Clinical Trials Directive.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The CTR foresaw a three-year transition period that ended on January 31, 2025. Since this date, all new or ongoing trials are subject to the provisions of the CTR.</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following a public consultation that began in 2022, the United Kingdom government has enacted new legislation to overhaul the clinical trials regulatory framework. In April 2025, the UK adopted an amendment to the Medicines for Human Use (Clinical Trials) Regulations 2004 intended to support a more streamlined and flexible regulation of clinical trials, remove unnecessary administrative burdens on trial sponsors, and protect the interests of trial participants. It also intends to bring the UK regulatory framework for clinical trials into closer alignment with the CTR. The amendment will become applicable on April 28, 2026 following a one-year transition period. While these changes introduce efficiencies and align with some principles of the EU’s CTR, divergence between the United Kingdom and EU regulatory systems remains. Any significant divergence could affect the cost and complexity of conducting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the United Kingdom and may impact the acceptability of United Kingdom-based trial data for seeking marketing authorizations in the EU, and vice versa.</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reveal SAEs and AEs and may result in a safety or tolerability profile that could delay or prevent regulatory approval or market acceptance of envu, A-005 or any future product candidates.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Undesirable or clinically unmanageable side effects observed in our clinical trials for our product candidates could occur and cause us or regulatory authorities to interrupt, delay or halt our clinical trials and could result in a more restrictive labeling or the delay or denial of regulatory approval by the FDA or comparable foreign regulatory authorities.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have observed SAEs and AEs in our trials of envu, and as more patients become exposed to envu over longer periods of time, we expect to see additional SAEs and AEs emerge. Further, long term treatment with envu continues to be evaluated in an OLE trial, and additional AEs and SAEs will continue to accumulate. Certain conditions occur more frequently in patients with psoriasis compared to the general population. Examples include obesity, cardiovascular disease, psoriatic arthritis and depression. Immune modulating treatments including envu may result in increasing susceptibility to various infections, including serious or life-threatening infections, and there is a theoretical risk with immune-modulating agents that dampening immune responses could increase the risk of malignancies.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Other TYK2 inhibitors, such as deucravacitinib (marketed as Sotyktu), which is approved for the treatment of adults with PsO, have shown AEs such as hypersensitivity reactions, infections, tuberculosis, malignancy and rhabdomyolysis. The label for deucravacitinib includes a warning concerning the potential for JAK-related AEs, such as cardiovascular and thrombotic events. We have observed, and expect that additional AEs and SAEs consistent with known side effects of TYK2 inhibition may emerge, in our ongoing and future clinical trials of envu.</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most common AEs observed in our Phase 2 STRIDE and OLE PsO trials that were considered related to envu treatment by the principal investigator include headaches, upper respiratory tract infections, nasopharyngitis, rash and nausea. We continue to evaluate the safety profile of envu in our ongoing Phase 2 OLE and Phase 3 trials.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AEs, SAEs or other side effects are observed in any of our ongoing or future clinical trials that are atypical of, or more severe than, the known side effects of the respective class of agents that each of our product candidates are a part of, we may have difficulty recruiting participants to our clinical trials, participants may drop out of our trials, or we may be required to abandon those trials or our development efforts of one or more product candidates altogether. If such effects are more severe or less reversible than we expect, or not reversible at all, we may decide or be required to perform additional studies or to halt or delay further clinical development of envu, A-005 or any future product candidates, which could result in the delay or denial of regulatory approval by the FDA or comparable foreign regulatory authorities.</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If​ envu fails to demonstrate an acceptable benefit/risk profile, versus current approved therapies or others in clinical development, then our opportunity to disrupt the current standard of care may be limited. AEs and SAEs that emerge during clinical investigation of or treatment with envu, A-005, or any future product candidates have in the past been and may in the future be deemed to be related to our product candidates. This may require longer and more extensive clinical development, or regulatory authorities may increase the amount of data and information required to approve, market, or maintain envu, A-005 or any future product candidates and could result in warnings and precautions in our product labeling or a restrictive risk evaluation and mitigation strategy (“REMS”) or comparable foreign strategies. This may also result in an inability to obtain approval of envu, A-005 or any future product candidates. We, the FDA or other comparable foreign regulatory authorities, or an IRB or ethics committee, may suspend clinical trials of a product candidate at any time for various reasons, including a belief that participants in such trials are being exposed to unacceptable health risks or adverse side effects. Some potential product candidates developed in the biotechnology industry that initially showed promise in early-stage trials have later been found to cause side effects that prevented their further development. Even if the side effects do not preclude the product candidate from obtaining or maintaining regulatory approval, undesirable side effects, like those mentioned above, may limit market acceptance of the approved product due to its tolerability versus other therapies. Any of these developments could materially harm our business, financial condition, results of operations and prospects.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comparable foreign strategies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associated with AEs include:</w:t>
      </w:r>
    </w:p>
    <w:p>
      <w:pPr>
        <w:spacing w:after="0" w:line="192" w:lineRule="exact"/>
        <w:rPr>
          <w:sz w:val="20"/>
          <w:szCs w:val="20"/>
          <w:color w:val="auto"/>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required to suspend marketing of a product, or we may decide to remove such product from the marketplace;</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authorities may withdraw, suspend or change their approvals of a product;</w:t>
      </w:r>
    </w:p>
    <w:p>
      <w:pPr>
        <w:spacing w:after="0" w:line="22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regulatory authorities may require additional warnings on the label or limit access of a product to selective specialized centers with additional safety reporting and with requirements that patients be geographically close to these centers for all or part of their treatment; and</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required to create a medication guide outlining the risks of a product for patients, or to conduct post-marketing studies.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our product candidates, if approved by the FDA or comparable foreign regulatory authorities.</w:t>
      </w:r>
    </w:p>
    <w:p>
      <w:pPr>
        <w:spacing w:after="0" w:line="1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Preliminary, “top-line” and interim data from our clinical trials that we announce or publish from time to time may change as more patient data become available or are subject to audit and verification procedures that could result in material changes in the final data.</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preliminary data we previously published. As a result, top-line and preliminary data should be viewed with caution until the final data are available.</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data from interim analyses from our clinical trials. Interim analyses from clinical trials that we may complete are subject to the risk that one or more of the clinical outcomes may materially change as participants enrollment continues and more participant data become available or as participants from our clinical trials continue other treatments for their disease. Adverse differences between interim data, topline data, or preliminary data and final data could significantly harm our business prospects.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authorities, disagree with the conclusions reached, our ability to obtain approval for, and commercialize, our product candidates may be harmed, which could harm our business, financial condition, results of operations and prospects. Further, disclosure of interim, top-line or preliminary data by us or by our competitors could result in volatility in the price of our common stock.</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are currently conducting, and may in the future conduct, clinical trials for current or future product candidates outside the United States, and the FDA and comparable foreign regulatory authorities may not accept data from such trials.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conducted, are currently conducting, and may in the future conduct, clinical trials outside the United States, including (without limitation) in the EU, the United Kingdom (“UK”), Japan, Latin America and Asia-Pacific countries. We expect to continue to conduct trials internationally in the future. The acceptance of data from clinical trials conducted outside the United States or another jurisdiction by the FDA or comparable foreign regulatory authorities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regulatory approval unless the study is well-designed and well-conducted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In addition, such 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current or future product candidates in the United States, we may never receive regulatory approval to market outside of the United States.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plan to seek regulatory approval for our current and future product candidates outside of the United States and are currently conducting certain clinical trials internationally, including in the EU and Japan.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regulatory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Regulatory approval in one country does not ensure regulatory approval in another, but a failure or delay in obtaining regulatory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spacing w:after="0" w:line="193"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candidates, if approved, will depend in part on the extent to which governmental authorities and health payors and insurers establish coverage, adequate reimbursement levels and favorable pricing policies. Failure to obtain or maintain coverage and adequate reimbursement for our product candidates could limit our ability to market those products and decrease our ability to generate revenue.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and Medicaid, private health insurers and other third-party payors are essential for most patients to be able to afford prescription medications such as our product candidates,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 United States, the EU, Japan or elsewhere will be available for any product that we may develop, and any reimbursement that may become available may be decreased or eliminated in the future.</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equivalent generic drugs, biosimilars or less expensive therapies are available. It is possible that a third-party payor may consider our product candidates, if approved, as substitutable and only be willing to cover the cost of the alternative product. Even if we show improved efficacy, safety or improved convenience of administration with envu, A-005 or any of our future product candidates, if approved, pricing of competitive products may limit the amount we will be able to charge for our product candidates, if approved. Third-party payors may deny or revoke the reimbursement status of a given product or establish prices for new or existing marketed products at levels that are too low to enable us to realize an appropriate return on our investment in our product candidates. In some cases, when new competitor generic and biosimilar products enter the market, there are mandatory price reductions for the innovator compound. In other cases, payors employ “therapeutic category” price referencing and seek to lower the reimbursement levels for all treatments in the respective therapeutic category. Additionally, new competitor brand drugs can trigger therapeutic category reviews in the interest of modifying coverage and/or reimbursement levels. The potential of third-party payors to introduce more challenging price negotiation methodologies could have a negative impact on our ability to successfully commercialize our product candidates, if approved.</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therapies before they will reimburse healthcare providers who use such therapies. It is difficult to predict at this time what third-party payors will decide with respect to the coverage and reimbursement for our products, if approved.</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Outside the United States, biopharmaceutical products and services are generally subject to extensive governmental price controls and other market regulations, and we believe the increasing emphasis on cost-containment initiatives in Europe and other countries will continue to put pressure on the pricing and usage of our product candidates. In many countries, the prices of medical products are subject to varying price control mechanisms as part of national health systems.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allow companies to establish their own prices for medical products but monitor and control company profits or control prescription volumes and issue guidance to physicians to limit prescriptions. In addition, some EU member states may require the completion of additional studies that compare the cost-effectiveness of a particular medicinal product candidate to currently available therapies. This Health Technology Assessment (“HTA”), process is the procedure according to which the assessment of the public health impact, therapeutic impact and the economic and societal impact of use of a given medicinal product in the national healthcare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systems of the individual country is conducted. The outcome of HTA regarding specific medicinal products will often influence the pricing and reimbursement status granted to these medicinal products by the competent authorities of individual EU member states.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Additional foreign price controls or other changes in pricing regulation could restrict the amount that we are able to charge for our product candidates, if approved. In December 2021, Regulation No 2021/2282 on Health Technology Assessment (the “HTA Regulation”) was adopted. The HTA Regulation intends to boost cooperation among EU member states in assessing health technologies, including new medicinal products, and provide the basis for cooperation at EU level for joint clinical assessments in these areas. The HTA Regulation entered into application on January 12, 2025 and has a phased implementation. Individual EU member states continue to be responsible for assessing non-clinical (e.g., economic, social, ethical) aspects of health technologies, and making decisions on pricing and reimbursement.</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Further, the containment of health care costs also has become a priority of federal, state and foreign governments and the prices of products have been a focus in this effort. For example, the U.S. Department of Health and Human Services (“HHS”) imposes rebates on many Medicare Part B and Medicare Part D products to penalize price increases that outpace inflation on an annual basis. HHS has also been empowered to negotiate the price of certain single-source drugs that have been on the market for at least seven years and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Such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There can be no assurance that any country that has reimbursement limitations for pharmaceutical products will allow favorable reimbursement and pricing arrangements for any of our products, if approved in those countries. In the event Most-Favored-Nation pricing for pharmaceutical products is implemented and applicable to any of product candidates that may receive regulatory approval, our revenue opportunities may be adversely affected, as our U.S. pricing would have to be reduced to the lowest price paid for the applicable product outside of the United States. In such event, we may choose to forgo the ex-U.S. market to preserve more favorable U.S. pricing.</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have made substantial investments into the rapid development of competitor treatments for immunological indications, including large and specialty pharmaceutical and biotechnology companies, many of which already have approved therapies and/or candidates under development in our current indications.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development and commercialization of therapies is highly competitive. Our product candidates, if approved, will face significant competition, including from well-established, currently marketed therapies, and our failure to demonstrate a meaningful improvement to the existing standard of care may prevent us from achieving significant market penetration. Many of our competitors have significantly greater resources and experience than we do, and we may not be able to successfully compete. We face substantial competition from multiple sources, including large and specialty pharmaceutical and biotechnology companies, academic research institutions and governmental agencies and public and private research institutions. Our competitors compete with us on the level of the technologies employed, or on the level of development of their products as compared to our product candidates. In addition, many small biotechnology companies have formed collaborations with large, established companies to (i) obtain support for their research, development and commercialization of products or (ii) combine several treatment approaches to develop longer lasting or more efficacious treatments that may potentially directly compete with our current or any future product candidates. We anticipate that we will continue to face increasing competition as new therapies and combinations thereof, and related data, emerge.</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current product candidates, initially under development for treatment of patients with immune-mediated diseases, if approved, would face competition from existing approved immunological treatments, many of which have achieved commercial success. For example, we are currently developing envu for the treatment of PsO and SLE. Other emerging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and established life sciences companies have been focused on similar therapeutics and indications. If approved, envu would compete with several currently approved or late-stage oral clinical therapeutics in each such indication as well as other drugs used to treat such patients.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also developing A-005, which has potential applications in multiple sclerosis (“MS”) and other neuroinflammatory and neurodegenerative diseases. There are several therapies available for the treatment of relapsing forms of MS, including interferon beta regulators, monoclonal antibodies, synthetic immunomodulatory drugs and S1P receptor modulators.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To compete successfully, we need to disrupt these currently marketed drugs, meaning that we will have to demonstrate that the relative cost, method of administration, safety, tolerability and efficacy of our product candidates provide a better alternative to existing and new therapies. Our commercial opportunity and likelihood of success will be reduced or eliminated if our product candidates are not ultimately demonstrated to be safer, more effective, more conveniently administered, or less expensive than the current standard of care. Furthermore, even if our product candidates are able to achieve these attributes, acceptance of our products may be inhibited by the reluctance of physicians to switch from existing therapies to our products, or if physicians choose to reserve our products for use in limited circumstances.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Many of our competitors have significantly greater financial, technical, manufacturing, marketing, sales and supply resources or experience than we have. If we obtain regulatory approval for any product candidate, we will face competition based on many different factors, including the safety and effectiveness of our current or any future product candidates, the ease with which our current or any future product candidates can be administered and the extent to which participants accept relatively new routes of administration, the timing and scope of regulatory approvals for these product candidates,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current or any future product candidates. Such competitors could also recruit our employees, which could negatively impact our level of expertise and our ability to execute our business plan.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large and established companies. These third parties compete with us in recruiting and retaining qualified management and other personnel in establishing clinical trial sites and enrolling patients in clinical trials, as well as in acquiring technologies complementary to, or necessary for, our programs.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most advanced product candidate, envu, and we cannot guarantee that envu will successfully complete development, receive regulatory approval or be successfully commercialized. If we are unable to develop, receive regulatory approval for and ultimately successfully commercialize our product candidates, or if we experience significant delays in doing so, our business will be materially harmed.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currently have no products approved for commercial sale or for which regulatory approval to market has been sought. We have invested a significant portion of our efforts and financial resources in the development of our most advanced product candidate, envu, which is still in clinical development, and expect that we will continue to invest heavily in envu, as well as our second product candidate, A-005, and any future product candidates we may develop. Additionally, in May 2026, we completed our strategic review of the lonigutamab program, ACELYRIN’s lead product candidate. While we decided to explore strategic alternatives for the lonigutamab program, there can be no assurance that any such strategic alternative will be successfully identified or consummated on favorable terms, if at all. Our business and our ability to generate revenue, which we do not expect will occur for many years, if ever, are substantially dependent on our ability to develop, obtain regulatory approval for, and then successfully commercialize our product candidates, which may never occur.</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product candidates will require substantial additional preclinical and clinical development time, regulatory approval,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commercial manufacturing arrangements, establishment of a commercial organization, significant marketing efforts and further investment before we can generate any revenue from product sales. We currently generate no revenue, and we may never be able to develop or commercialize any products. We cannot assure you that we will meet our timelines for our current or future clinical trials, which may be delayed or not completed for a number of reasons, including the negative impacts of geopolitical instability, public health crises, labor shortages, inflation or other macroeconomic factors impacting our third-party CROs, CMOs, clinical trial sites, investigators or us. Our product candidates are susceptible to the risks of failure inherent at any stage of product development, including the appearance of unexpected AEs or failure to achieve primary endpoints in clinical trials. For example, we discontinued our proof-of-concept Phase 2a clinical trial of envu in patients with non-infectious uveitis in June 2024 based on the efficacy results of a data analysis prepared for a scheduled monitoring committee meeting, which efficacy results did not meet our clinical threshold for success despite safety results consistent with envu’s safety profile in psoriasis patients. Additionally, we may in the future advance envu, A-005 or future product candidates into clinical trials and terminate such trials prior to their completion.</w:t>
      </w:r>
    </w:p>
    <w:p>
      <w:pPr>
        <w:spacing w:after="0" w:line="19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Even if our product candidates are successful in clinical trials, we are not permitted to market or promote our product candidates before we receive regulatory approval from the FDA or comparable foreign regulatory authorities, and we may never receive sufficient regulatory approval that will allow us to successfully commercialize any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an NDA or similar marketing application to the FDA or comparable foreign regulatory authorities for any product candidate, and we cannot be certain that our current or any future product candidates will be successful in clinical trials or receive regulatory approval. Although we plan to submit an NDA for envu for PsO in the second half of 2026, we will need to meet with the FDA and they may raise concerns or requirements that delay submission beyond our anticipated timeline. The FDA may also consider its approvals of competing products, which may alter the treatment landscape concurrently with their review of any NDA we may submit, and which may lead to changes in the FDA’s review requirements that have been previously communicated to us and our interpretation thereof, including changes to requirements for clinical data or clinical study design. Such changes could delay approval or necessitate withdrawal of any such NDA submission. Similar risks may exist in foreign jurisdictions.</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approved for marketing by applicable regulatory authorities, our ability to generate revenue from our product candidates will depend on our ability to:</w:t>
      </w:r>
    </w:p>
    <w:p>
      <w:pPr>
        <w:spacing w:after="0" w:line="162" w:lineRule="exact"/>
        <w:rPr>
          <w:sz w:val="20"/>
          <w:szCs w:val="20"/>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competitively such that third-party and government reimbursement permits broad product adoption;</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superiority of our products compared to the standard of care, as well as to other therapies in development;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regulatory approval for the targeted patient populations and claims that are necessary or desirable for successful marketing;</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commercialize any of our products that receive regulatory approval;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product candidates through CMOs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agreements with wholesalers, distributors, pharmacies and group purchasing organizations on commercially reasonable terms;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protect and enforce patent and other intellectual property protection and regulatory exclusivity for our products;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products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distribution and logistics network capable of product storage within our specifications and regulatory guidelines, and further capable of timely product delivery to commercial clinical sites; and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assure that our product will be used as directed and that additional unexpected safety risks will not arise.</w:t>
      </w:r>
    </w:p>
    <w:p>
      <w:pPr>
        <w:spacing w:after="0" w:line="22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of an NDA or Biologics License Application from the FDA. Similar approvals are required in order to market product candidates in foreign countries.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and comparable foreign regulatory authorities have substantial discretion in the approval process, including the ability to delay, limit or deny approval of a product candidate for many reasons.</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must demonstrate based on adequate and well-controlled clinical trials, and to the satisfaction of the FDA or comparable foreign regulatory authorities, that such product candidates are safe and effective for their intended uses. Clinical testing is expensive, time consuming and subject to uncertainty. We cannot guarantee that any current or future clinical trials will be conducted as planned or completed on schedule, if at all, or that our product candidates will receive regulatory approval. Even though our topline data readout of our Phase 3 pivotal trials of envu in PsO were positive, they may not be sufficient for approval of envu in that disease, and our Phase 3 LTE trial in PsO remains ongoing. Although we have discussed and intend to further discuss our Phase 3 clinical trial design and overall development plan with the FDA to align on its sufficiency to support an NDA submission, the feedback is typically non-binding and dependent on the strength of the ultimate clinical data and the FDA’s perspective on the benefit-risk profile of the treatment in the intended population. For example, the Committee for Medicinal Products for Human Use in the EU provided comments on the length of our two pivotal 24-week Phase 3 trials, and we plan to address their feedback with our comparator trials. These modifications could delay our development timelines for EU regulatory approval and require substantially more resources. Phase 3 clinical trials typically involve hundreds of patients, have significant costs and take years to complete. In addition, we have initiated a Phase 2b trial of envu in SLE. Even as these trials progress, issues may arise that could require us to suspend or terminate such clinical trials or could cause the results of one cohort to differ from a prior cohort. For example, we may experience slower than anticipated enrollment in our clinical trials, which may consequently delay our development timelines or permit competitors to obtain approvals that may alter our strategy. A failure of one or more clinical trials can occur at any stage of testing, and our future clinical trials may not be successful.</w:t>
      </w:r>
    </w:p>
    <w:p>
      <w:pPr>
        <w:spacing w:after="0" w:line="19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even if such clinical trials are successfully completed, we cannot guarantee that the FDA or comparable foreign regulatory authorities will interpret the results as we do, and more trials could be required before we submit our product candidates for approval. To the extent that the results of the clinical trials are not satisfactory to the FDA or comparable foreign regulatory authorities for support of a marketing application, we may be required to expend significant resources, which may not be available to us, to conduct additional clinical trials in support of potential approval of our product candidates.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if the FDA or comparable foreign regulatory authorities grant approval for our product candidates, then, as a condition for approval, the FDA or comparable foreign regulatory authorities may require us to perform costly post-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marketing testing, including Phase 4 clinical trials or surveillance to monitor the effects of the marketed product.</w:t>
      </w:r>
    </w:p>
    <w:p>
      <w:pPr>
        <w:spacing w:after="0" w:line="225"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Our clinical trial results may also not support approval. In addition, our product candidates could fail to receive regulatory approval for many reasons, including the following:</w:t>
      </w:r>
    </w:p>
    <w:p>
      <w:pPr>
        <w:spacing w:after="0" w:line="162" w:lineRule="exact"/>
        <w:rPr>
          <w:sz w:val="20"/>
          <w:szCs w:val="20"/>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 including due to the heterogeneity of patient populations, or apparent improvement in trial participants receiving placebo;</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3"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the satisfaction of the FDA or comparable foreign regulatory authorities to support the submission of an NDA or other comparable submission in foreign jurisdictions or to obtain regulatory approval in the United States or elsewhere;</w:t>
      </w:r>
    </w:p>
    <w:p>
      <w:pPr>
        <w:spacing w:after="0" w:line="39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us regarding the formulation, labeling and/or the product specifications of our product candidates;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those sought by us, and/or may include significant restrictions on distribution and use;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will review CMOs’ manufacturing process and inspect our CMOs’ commercial manufacturing facilities and may not approve our CMOs’ manufacturing process or facilities with respect to our product candidates; and</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Even if we eventually complete clinical trials and receive approval of an NDA or comparable foreign marketing application for our product candidates, the FDA or comparable foreign regulatory authority may grant approval contingent on the performance of costly additional clinical trials and/or the implementation of a REMS or comparable foreign strategies, which may be required because the FDA or comparable foreign regulatory authority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policies and new regulations may be enacted. For instance, on December 11, 2025, the European Commission, the Parliament and the European Council reached a political agreement on a comprehensive overhaul of EU pharmaceutical legislation (the “Pharma Package”). The reform has been under negotiation since the European Commission submitted its proposal in April 2023. This package, comprised of a new directive and regulation to replace existing legislation, aims to modernize the EU framework. The political agreement is still subject to formal approval by the European Parliament and Council. If approved in the form proposed, the Pharma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Package will, among other changes, reduce the baseline market protection period by one year, with limited opportunities for extensions; reshape the incentives regime for orphan medicinal products; and expand the Bolar exemption. A decrease in market exclusivity opportunities for our product candidates in the EU, combined with the expanded Bolar exemption, could open them to generic or biosimilar competition earlier than under the current regime, potentially impacting reimbursement status and the commercial prospects of our product candidates.</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or comparable foreign regulatory authorities caused by funding shortages, government shutdowns or global health concerns could hinder their ability to hire, retain or deploy key leadership and other personnel, prevent new or modified products from being developed, reviewed, approved or commercialized in a timely manner or at all, which could negatively impact our business.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government shutdowns, statutory, regulatory, and policy changes, the FDA’s or comparable foreign regulatory authorities’ ability to hire and retain key personnel and accept the payment of user fees, and other events that may otherwise affect the FDA’s or comparable foreign regulatory authorities’ ability to perform routine functions. In addition, government funding of other government agencies that fund research and development activities is subject to the political process, which is inherently fluid and unpredictable. Disruptions at the FDA and other agencies or comparable foreign authorities may also slow the time necessary for new drugs or modifications to approved drugs to be reviewed and/or approved by necessary government agencies or regulatory authorities, which would adversely affect our business. For example, over the last several years, the U.S. government has shut down several times and certain regulatory authorities, such as the FDA, have had to furlough critical FDA employees and stop critical activities.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Separately, in response to the global COVID-19 pandemic, the FDA postponed most inspections of domestic and foreign manufacturing facilities at various points. Even though the FDA has since resumed standard inspection operations, any resurgence of the virus or emergence of new variants may lead to inspectional or administrative delays. If a prolonged government shutdown occurs, such as the U.S. government shutdown in the fourth quarter of 2025, or if global health concerns prevent the FDA or other comparable foreign regulatory authorities from conducting their regular inspections, reviews, or other regulatory activities, it could significantly impact the ability of the FDA or other comparable foreign regulatory authorities to timely review and process our regulatory submissions, which could have a material adverse effect on our business.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if approved, do not achieve broad market acceptance, the revenue that we generate from their sales will be limited.</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 for which we obtain regulatory approval does not gain an adequate level of market acceptance, we may not generate sufficient product revenue or become profitable.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degree of market acceptance of our product candidates, if approved, will depend on a number of factors, some of which are beyond our control, including:</w:t>
      </w:r>
    </w:p>
    <w:p>
      <w:pPr>
        <w:spacing w:after="0" w:line="162" w:lineRule="exact"/>
        <w:rPr>
          <w:sz w:val="20"/>
          <w:szCs w:val="20"/>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tolerability and ease of administration of our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approved claims that we may make for the products;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75" w:lineRule="auto"/>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product’s approved labeling, including potential limitations on the use of the product or warnings for such products that may be more restrictive than other competitive products;</w:t>
      </w:r>
    </w:p>
    <w:p>
      <w:pPr>
        <w:spacing w:after="0" w:line="38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comparable foreign regulatory authorities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spacing w:after="0" w:line="261" w:lineRule="auto"/>
        <w:rPr>
          <w:sz w:val="20"/>
          <w:szCs w:val="20"/>
          <w:color w:val="auto"/>
        </w:rPr>
      </w:pPr>
      <w:r>
        <w:rPr>
          <w:rFonts w:ascii="Times New Roman" w:cs="Times New Roman" w:eastAsia="Times New Roman" w:hAnsi="Times New Roman"/>
          <w:sz w:val="18"/>
          <w:szCs w:val="18"/>
          <w:color w:val="auto"/>
        </w:rPr>
        <w:t>respect to such product candidates or to which we agree as part of a mandatory REMS or risk management plan;</w:t>
      </w:r>
    </w:p>
    <w:p>
      <w:pPr>
        <w:spacing w:after="0" w:line="200" w:lineRule="exact"/>
        <w:rPr>
          <w:sz w:val="20"/>
          <w:szCs w:val="20"/>
          <w:color w:val="auto"/>
        </w:rPr>
      </w:pPr>
    </w:p>
    <w:p>
      <w:pPr>
        <w:spacing w:after="0" w:line="223" w:lineRule="exact"/>
        <w:rPr>
          <w:sz w:val="20"/>
          <w:szCs w:val="20"/>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such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difficulty of administration or compliance with administration instructions of such product candidates;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treatment as compared to the clinical benefit in relation to alternative treatments or therapies;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coverage and reimbursement by third parties, such as insurance companies and other healthcare payors, and by government healthcare programs, including Medicare and Medicaid or comparable foreign programs;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marketing and distribution of such product candidates;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other potential advantages of,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such product candidates, as well as competitive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physicians to switch their patients’ current standard of care;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reluctance of patients to switch from their existing therapy regardless of the safety and efficacy of newer products;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such product candidates for sale at competitive prices;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efforts to educate the medical community and third-party payors as to the benefits of our product candidates may require significant resources and may never be successful. Even if the medical community accepts that our product candidates are safe and effective for their approved indications, physicians and patients may not immediately be receptive to such product candidates and may be slow to adopt them as an accepted treatment of the approved indications. If our current or future product candidates are approved, but do not achieve an adequate level of acceptance among physicians, patients, and third-party payors, we may not generate meaningful revenue from our product candidates and may never become profitable.</w:t>
      </w:r>
    </w:p>
    <w:p>
      <w:pPr>
        <w:spacing w:after="0" w:line="185"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in specific indications and fail to capitalize on product candidates or indications that may be more profitable or for which there is a greater likelihood of success.</w:t>
      </w:r>
    </w:p>
    <w:p>
      <w:pPr>
        <w:spacing w:after="0" w:line="13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our development efforts on certain selected product candidates in certain selected indications. For example, we are initially focused on our most advanced product candidate, envu, currently in development for the treatment of PsO and SLE, and our second product candidate A-005, currently in development for the treatment of neuroinflammatory and neurodegenerative diseases. As a result, we may forgo or delay pursuit of opportunities with other product candidates, or other indications for our existing product candidates that later prove to have greater commercial potential. Our resource allocation decisions may cause us to fail to capitalize on viable commercial products or profitable market opportunities. Our spending on current and future development programs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product candidates for specific indications may not yield any commercially viable product candidates. For example, we discontinued our proof-of-concept Phase 2a clinical trial of envu in patients with non-infectious uveitis in June 2024 based on the efficacy results of a data analysis prepared for a scheduled monitoring committee meeting, which efficacy results did not meet our clinical threshold for success despite safety results consistent with envu’s safety profile in psoriasis patients.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grow our organization, and we may experience difficulties in managing our growth and expanding our operations, which could adversely affect our business.</w:t>
      </w:r>
    </w:p>
    <w:p>
      <w:pPr>
        <w:spacing w:after="0" w:line="15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2026, we had 225 full-time and 2 part-time employees. As our development and commercialization plans and strategies develop, we expect to expand our employee base for managerial, operational, financial and other resources.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we have limited experience in manufacturing and commercialization. As our product candidates enter and advance through preclinical studies and clinical trials, we expect to continue to expand our development and regulatory capabilities and contract with other organizations to provide manufacturing and other capabilities for us. In the future, we expect to have to manage additional relationships with future collaborators or partners, suppliers and other organizations. Our ability to manage our operations and future growth will require us to continue to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 Our inability to successfully manage our growth and expand our operations could adversely affect our business, financial condition, results of operations and prospects.</w:t>
      </w:r>
    </w:p>
    <w:p>
      <w:pPr>
        <w:spacing w:after="0" w:line="184"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the services of our management team and other clinical and scientific personnel, and if we are not able to retain these individuals or recruit additional management or clinical and scientific personnel, our business will suffer.</w:t>
      </w:r>
    </w:p>
    <w:p>
      <w:pPr>
        <w:spacing w:after="0" w:line="13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We are highly dependent upon the members of our senior management team. The loss of services of any of these individuals could delay or prevent the successful development of our product pipeline, initiation or completion of our preclinical studies and clinical trials or the commercialization of our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need to continue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biopharmaceutical, biotechnology and other businesses, particularly in the greater San Francisco Bay Area.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CROs, CMOs and other parties. Misconduct by these parties could include intentional, reckless and/or negligent conduct that fails to comply with FDA or other regulations, provide true, complete and accurate information to the FDA and other similar foreign regulatory bodies, respect our confidentiality and intellectual property rights, comply with manufacturing standards we may establish, comply with healthcare fraud and abuse laws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regulations, report financial information or data accurately or disclose unauthorized activities to us. If we obtain FDA approval for our product candidates and begin commercializing those products in the United States, our potential exposure under these laws will increase significantly, and our costs associated with compliance with these laws are likely to increase.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Similar requirements apply in foreign countries.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civil, criminal and administrative penalties, damages, fines, disgorgement, imprisonment, the curtailment or restructuring of our operations, loss of eligibility to obtain approvals from the FDA or comparable foreign regulatory authorities, exclusion from participation in government contracting, healthcare reimbursement or other government programs, including Medicare and Medicaid or comparable foreign programs, integrity oversight and reporting obligations, or reputational harm.</w:t>
      </w:r>
    </w:p>
    <w:p>
      <w:pPr>
        <w:spacing w:after="0" w:line="18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growth prospects.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conduct business globally and our operations, including third-party suppliers, span numerous countries outside the United States.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ongoing trade tensions between the United States and other jurisdictions have resulted in multiple rounds of tariffs and potential tariffs affecting pharmaceuticals and pharmaceutical ingredients, including finished drug products, manufacturing equipment and related supplies. In April 2025, the U.S. government imposed a 10% baseline global tariff and in August 2025, the U.S. government imposed higher “reciprocal” tariffs on numerous other territories, including EU member states and South Korea. While the U.S. Supreme Court recently issued a ruling invalidating tariffs imposed by the Trump administration under the International Emergency Economic Powers Act, other tariffs imposed by the U.S. government remain in place, including the 10% global tariff imposed by the Trump administration under Section 122 of the Trade Act of 1974 following the U.S. Supreme Court decision. Moreover, the Bureau of Industry and Security, U.S. Department of Commerce, has initiated an investigation to determine whether pharmaceutical ingredients, including finished drug product, manufactured outside the United States pose a national security risk and should be subject to additional tariffs.</w:t>
      </w:r>
    </w:p>
    <w:p>
      <w:pPr>
        <w:spacing w:after="0" w:line="196" w:lineRule="exact"/>
        <w:rPr>
          <w:sz w:val="20"/>
          <w:szCs w:val="20"/>
          <w:color w:val="auto"/>
        </w:rPr>
      </w:pPr>
    </w:p>
    <w:p>
      <w:pPr>
        <w:jc w:val="both"/>
        <w:ind w:left="60" w:right="59"/>
        <w:spacing w:after="0" w:line="263"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product candidates for clinical testing, as well as for manufacture of any products that we may commercialize, if approved. Currently, most of our suppliers are located outside of the United States, and our principal suppliers of critical raw materials are located in India and in Taiwan. We also rely on precursor compounds, other materials, and manufacturing services sourced from multiple countries, including the EU and South Korea, to advance our research and development and manufacturing efforts.</w:t>
      </w:r>
    </w:p>
    <w:p>
      <w:pPr>
        <w:spacing w:after="0" w:line="17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Current or future tariffs will result in increased research and development expenses, including with respect to increased costs associated with active pharmaceutical ingredients (“APIs”), raw materials, laboratory equipment and research materials and components. In addition, such tariffs will increase our supply chain complexity and could also potentially disrupt our existing supply chain. Unlike consumer goods, pharmaceuticals face unique regulatory constraints that make rapid supply chain adjustments particularly difficult and costly.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negatively impacting our ability to secure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 financing on favorable terms or at all. In addition, as we advance toward commercialization, tariffs and trade restrictions could hinder our ability to establish cost-effective production capabilities, negatively impacting our growth prospects.</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U.S. and other governments have imposed and may continue to impose additional sanctions, such as trade restrictions or trade barriers, which could restrict us from doing business directly or indirectly in or with certain countries or parties and have imposed and may continue to impose additional costs and complexity to our business.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growth prospects. In addition, tariff and other trade developments have and may continue to heighten the risks related to the other risk factors described elsewhere in this Quarterly Report on Form 10-Q.</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future growth may depend, in part, on our ability to develop and commercialize our product candidates in foreign markets, including in the EU, the UK and Japan, for which we may rely on collaboration with third parties. We are not permitted to market or promote our product candidates before we receive regulatory approval from the applicable regulatory authority in that foreign market and may never receive such regulatory approval for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fail to comply with the regulatory requirements in international markets and receive applicable regulatory approvals, our target market will be reduced, our ability to realize the full market potential of our product candidates will be harmed and our business will be adversely affected. We may not obtain foreign regulatory approvals on a timely basis, if at all. Our failure to obtain approval for our product candidates by regulatory authorities in another country may significantly diminish the commercial prospects of that product candidate and our business, financial condition, results of operations and prospects could be adversely affected. Moreover, even if we obtain approval of our product candidates and ultimately commercialize our product candidates in foreign markets, we would be subject to these risks and uncertainties, including the burden of complying with complex and changing foreign regulatory, tax, accounting and legal requirements and reduced protection of intellectual property rights in some foreign countries.</w:t>
      </w:r>
    </w:p>
    <w:p>
      <w:pPr>
        <w:spacing w:after="0" w:line="19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our ability to obtain sufficient insurance coverage could adversely affect our business, financial condition, results of operations and prospects.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we conduct clinical trials of our current or future product candidates, we are exposed to significant product liability risks inherent in the development, testing, manufacturing and marketing of new treatments. Product liability claims could delay or prevent completion of our development programs. If we succeed in marketing products, such claims could result in FDA or other regulatory authority investigation of the safety and effectiveness of our future product candidates, our manufacturing processes and facilities or our marketing programs and potentially a recall of our products or more serious enforcement action, limitations on the approved indications for which they may be used or suspension, variation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withdrawal of approvals. Regardless of the merits or eventual outcome, liability claims may also result in decreased demand for our product candidates, termination of clinical trial sites or entire trial programs, withdrawal of clinical trial participants, injury to our reputation and significant negative media attention, significant costs to defend the related litigation, a diversion of management’s time and our resources from our business operations, substantial monetary awards to trial participants or patients, loss of revenue, the inability to commercialize and products that we may develop, and a decline in our stock price. We may need to obtain higher levels of product liability insurance for later stages of clinical development or marketing of our product candidates. Any insurance we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adversely affect our business, financial condition, results of operations and prospects.</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commercial general liability, general liability, cyber liability, workers’ compensation, clinical trials and directors’ and officers’ liability insurance. We do not know, however, if we will be able to maintain insurance with adequate levels of coverage. Any significant uninsured liability may require us to pay substantial amounts, which would adversely affect our business, financial condition, results of operations and prospects.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in, and may in the future engage in, strategic transactions, which could impact our liquidity, increase our expenses, dilute our stockholders and present significant distractions to our management.</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in the past and may continue to enter into strategic transactions, including acquisitions of companies, asset purchases and in-licensing of intellectual property with the potential to acquire and advance new assets or product candidates where we believe we are well qualified to optimize the development of promising therapies. For example, we were founded in January 2021, and subsequently acquired envu via a stock purchase of FronThera U.S. Holdings, Inc. and its wholly owned subsidiary, FronThera U.S. Pharmaceuticals LLC. Additionally, we consummated the ACELYRIN Merger in May 2025 and acquired lonigutamab. Additional potential transactions that we may consider in the future include a variety of business arrangements, including strategic partnerships, in-licensing or out-licensing of product candidates, strategic collaborations, joint ventures, restructurings, divestitures, business combinations and investments. Any such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w:t>
      </w:r>
    </w:p>
    <w:p>
      <w:pPr>
        <w:spacing w:after="0" w:line="19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Future acquisitions may also require us to obtain additional financing, which may not be available on favorable terms or at all. These transactions may never be successful and may require significant time and attention of our management. Even if we are able to successfully identify and acquire complementary products, technologies or businesses, we cannot assure you that we will be able to successfully manage the risks associated with integrating acquired products, technologies or businesses or the risks arising from anticipated and unanticipated problems in connection with an acquisition or in-licensing transaction. For example, as a result of the ACELYRIN Merger, we now operate our historical core business along with the acquired ACELYRIN business as one combined organization utilizing common information and communication systems, operating procedures, financial controls and human resources practices. There may be difficulties, costs and delays involved in the integration of our historical core business with the acquired ACELYRIN business, including as a result of challenges relating to the diversion of management’s attention, the possibility of faulty assumptions underlying expectations regarding the integration process, retaining and attracting business and operational relationships, eliminating duplicative operations and inconsistent standards and procedures and increased or unforeseen liabilities or costs relating to the ACELYRIN Merger or the acquired ACELYRIN business. We have also incurred substantial expenses in connection with and as a result of completing the ACELYRIN Merger and may incur additional expenses as we continue to finalize integration of the businesses, operations, policies and procedures of the combined company. Further, while we seek to mitigate 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and uncertainties effectively, including in connection with the ACELYRIN Merger, could have a material adverse effect on our business and adversely affect our results of operations and financial condition. Additionally, we may not realize the anticipated benefits of the ACELYRIN Merger or any other such transactions, including the possibility that expected synergies and accretion will not be realized or will not be realized within the expected time frame. Accordingly, although there can be no assurance that we will undertake or successfully complete any additional transactions of the nature described above, any additional transactions that we do complete could adversely affect our business, financial condition, results of operations and prospects.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to offset taxable income or taxes may be limited.</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we may never achieve profitability. As of December 31, 2025, we had U.S. federal net operating loss carryforwards of $281.2 million and U.S. states net operating loss carryforwards of $5.9 million. Under the Internal Revenue Code, our U.S. federal net operating losses arising in tax years beginning after December 31, 2017, will not expire and may be carried forward indefinitely, but the deductibility of such U.S. federal net operating losses in a taxable year is limited to 80% of taxable income in such year.</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if a corporation undergoes an “ownership change,” generally defined as a greater than 50 percentage point change (by value) in its equity ownership by certain stockholders over a three-year period, the corporation’s ability to use its pre-change net operating loss carryforwards and other pre-change tax attributes to offset its post-change income or taxes may be limited. As of December 31, 2025, we completed a Section 382 analysis which indicated that we have experienced an ownership change and resulted in the expiration of U.S. federal net credits before utilization and, as such, we recognized a reduction of deferred tax assets. There may be additional ownership changes in the future, some of which may be outside of our control. If we undergo an ownership change, and our ability to use our pre-change net operating loss carryforwards and other pre-change tax attributes (such as research tax credits) to offset our post-change income or taxes (if any) is limited, such limitation could harm our future results of operations by effectively increasing our future tax obligations.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and future changes to tax laws could materially adversely affect our company.</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with respect to income and non-income taxes, are unsettled and may be subject to significant change. Changes in tax laws, regulations or rulings, or changes in interpretations of existing laws and regulations, could materially adversely affect our company. The One Big Beautiful Bill Act (the “OBBBA”) enacted in July 2025, the Inflation Reduction Act (“IRA”) enacted in 2022, the Coronavirus Aid, Relief, and Economic Security Act enacted in 2020, and the Tax Cuts and Jobs Act enacted in 2017 made many significant changes to the U.S. tax laws. For example, the Tax Cuts and Jobs Act required taxpayers to capitalize and amortize U.S.-based and non-U.S.-based research and experimental (“R&amp;E”) expenditures over five and fifteen years, respectively. The OBBBA restores the deductibility of domestic R&amp;E expenditures in the year incurred for tax years beginning after December 31, 2024, but retains the capitalization and amortization requirement for foreign R&amp;E expenditures. In addition, the IRA includes provisions that impact the U.S. federal income taxation of certain corporations, including a 15% minimum tax on the book income of certain large corporations and a 1% excise tax on certain corporate stock repurchases that is imposed on the corporation repurchasing such stock. Future guidance from the Internal Revenue Service and other tax authorities with respect to such legislation may affect us, and certain aspects thereof could be repealed or modified in future legislation, possibly with retroactive effect. Additionally, many countries in Europe, as well as a number of other countries and organizations (including the Organization for Economic Cooperation and Development and the European Commission), have proposed, recommended, or (in the case of countries) enacted changes to existing tax laws or new tax laws that could significantly increase our tax obligations in the countries where we do business or require us to change the manner in which we operate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used by our CROs, CMOs, clinical sites or other third parties with whom we work or our data are or were compromised, become unavailable or suffer security breaches, loss or leakage of data or other disruptions, we could suffer material adverse consequences resulting from such compromise, including but not limited to, operational or service interruption, harm to our reputation, regulatory investigations or actions, litigation, fines, penalties and liability, and other adverse consequences to our business, results of operations and financial condition.</w:t>
      </w:r>
    </w:p>
    <w:p>
      <w:pPr>
        <w:spacing w:after="0" w:line="16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personal information and other sensitive data, including intellectual property, trade secrets, proprietary or confidential business information, preclinical and clinical trial data, personal information related to relevant stakeholders, third-party data, and other sensitive data (collectively, sensitive information) and as a result, we and the third parties with whom we work face a variety of evolving threats which could cause security incidents affecting or interruptions to our information technology systems and sensitive information.</w:t>
      </w:r>
    </w:p>
    <w:p>
      <w:pPr>
        <w:spacing w:after="0" w:line="18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Our information technology systems and those of our CROs, CMOs, clinical sites and other third parties with whom we work are vulnerable to attack, damage and interruption from a variety of evolving threats, including but not limited to computer viruses, misconfigurations, software bugs, worms, or other vulnerabilities and malicious codes, malware (including ransomware and as a result of advanced persistent threat intrusions), application security attacks, social engineering (including through phishing attacks and deep fakes, which may be increasingly more difficult to identify as fake), supply chain attacks and vulnerabilities through our third-party service providers, denial or degradation-of-service attacks (such as credential stuffing), credential harvesting, personnel misconduct or error, fraud, server malfunctions, software or hardware failures, loss of data or other information technology assets, attacks enhanced or facilitated by AI, adware, telecommunications and electrical failures, terrorism, war, earthquakes, fires, floods, and other similar threats. Such threats are prevalent, are occurring more often, are increasingly difficult to detect, and come from a variety of sources, including traditional computer “hackers,” threat actors, “hacktivists,” organized criminal threat actors, personnel (such as through theft or misuse), sophisticated nation states, and nation-state-supported actors. In particular, ransomware attacks, including those from organized criminal threat actors, nation-states and nation-state supported actors, are becoming increasingly prevalent and severe and can lead to significant interruptions, delays, or outages in our operations, loss of data (including sensitive information), loss of income, significant extra expenses to restore data or systems, reputational loss, the diversion of funds and other consequences. To alleviate the negative impact of a ransomware attack, it may be preferable to make extortion payments, but we may be unwilling or unable to do so (including, for example, if applicable laws or regulations prohibit such payments).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Some actors also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operations and supply chain. 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remote work has become more common and has increased risks to our information technology systems and data, as more of our personnel utilize network connections, computers and devices outside our premises or network, including working at home, while in transit and in public locations.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Furthermore, future or past business transactions (such as the ACELYRIN Merger or other acquisitions or integrations) could expose us to additional cybersecurity risks and vulnerabilities, as our systems could be negatively affected by vulnerabilities present in acquired or integrated entities’ systems and technologies. Additionally, we may discover security issues that were not found during due diligence of such acquired or integrated entities, and it may be difficult to integrate acquired entities into our information technology environment and security program.</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expend significant resources and modify our business activities to try to protect against security incidents. While we take steps designed to anticipate, detect and remediate threats and vulnerabilities, because the threats and techniques used to exploit such vulnerabilities and gain unauthorized access to, to sabotage or otherwise compromise systems change frequently, are often sophisticated in nature, and often are not recognized until launched against a target, we may be unable to anticipate these techniques or implement and maintain adequate preventative measures. Therefore, such vulnerabilities have and could be exploited but may not be detected until after a security incident has occurred. We may also experience security breaches that may remain undetected for an extended period. Even if identified, we may experience delays in developing and deploying remedial measures designed to address any such identified vulnerabilities and we may be unable to adequately investigate or remediate incidents or breaches due to attackers increasingly using tools and techniques that are designed to circumvent controls, to avoid detection, and to remove or obfuscate forensic evidence. There can be no assurance that our information security policies, controls or procedures, will be fully implemented, complied with or effective in protecting our systems and sensitive information.</w:t>
      </w:r>
    </w:p>
    <w:p>
      <w:pPr>
        <w:spacing w:after="0" w:line="19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reliance on third-party service providers could introduce additional cybersecurity risks and vulnerabilities, including supply-chain attacks and other threats to our business operations. We rely on third-party service providers and technologies to operate critical business systems and to process sensitive information in a variety of contexts, including, without limitation, cloud-based infrastructure, data hosting, encryption and authentication technology, personnel email, human resource management, training and other functions. We also rely on third-party service providers to assist with our clinical trials or otherwise to operate our business, including to manage and store sensitive patient data from our clinical trials. Our ability to monitor these third parties’ information security practices is limited, and these third parties may not have adequate information security measures in place. Our third-party service providers have and may in the future experience a security incident or other interruption.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our operations.</w:t>
      </w:r>
    </w:p>
    <w:p>
      <w:pPr>
        <w:spacing w:after="0" w:line="19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and certain of our service providers have been and are from time to time subject to cyberattacks and security incidents. Any of the previously identified or similar threats have or could cause a security incident or other interruption that resulted or results in unauthorized, unlawful, or accidental acquisition, modification, destruction, loss, alteration, encryption, disclosure, or other processing of, or access to our sensitive information or our information technology systems, or those of the third parties with whom we work. A security incident or other interruption could disrupt our ability (and that of third parties with whom we work) to conduct clinical trials. Additionally, sensitive information of the company could be leaked, disclosed, or revealed as a result of or in connection with our employees’, personnel’s or vendors’ use of generative AI technologies.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costs related to significant security breaches or disruptions could be material and cause us to incur significant expenses. If the information technology systems of our CROs, CMOs, clinical sites and other third parties become subject to disruptions or security incidents, we may have insufficient recourse against such third parties and we may have to expend significant resources to mitigate the impact of such an event, and to develop and implement protections to prevent future events of this nature from occurring. Our contracts may not contain liability limitations and, even where they do, there can be no assurance that such limitations are sufficient to protect us from liabilities, damages or claims related to our data privacy and security obligations. Further, our cyber liability insurance coverage may not be sufficient to cover the financial, legal, business reputational or other losses that may result from an interruption or breach.</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Security incidents have and could result in a disruption of our business and development programs. For example, the loss of clinical trial data from completed or ongoing clinical trials for a product candidate could result in delays in our regulatory approval efforts and significantly increase our costs to recover or reproduce the data, or may limit our ability to effectively execute a product recall, if required in the future. To the extent that any disruption or security incident were to result in the loss of or damage to our data or applications, or inappropriate disclosure of sensitive information, we could incur liability and the further development of any product candidates could be delayed.</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stakeholders, including affected individuals, regulators, and investors, of security incidents, or take other actions, such as providing credit monitoring and identify theft protection services. Such disclosures and related actions can be costly, and the disclosure or the failure to comply with such applicable requirements could lead to adverse consequences.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Security incidents (or perceived security incidents), may result in material adverse consequences such as legal claims or proceedings, liability including litigation exposure, penalties and fines under relevant legal obligations, enforcement actions and investigations by regulatory authorities, additional reporting requirements or oversight, restrictions on processing sensitive information (including personal information), indemnification obligations, monetary fund diversions, diversion of management attention, other financial loss, and damage to our reputation and a loss of confidence in us and our ability to conduct clinical trials, which could delay the clinical development of our product candidates, and of which may adversely affect our business, results of operations or financial condition.</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predominantly concentrated in one location, and we or the third parties upon whom we depend may be adversely affected by a wildfire, earthquake or other natural disasters and our business continuity and disaster recovery plans may not adequately protect us from a serious disaster.</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current operations are predominantly located in California. Any unplanned event, such as flood, wildfire, explosion, earthquake, extreme weather condition, medical epidemic, power shortage, telecommunication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service providers, such as our CMOs and CROs located globally,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trial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that we and third parties upon whom we rely have or may have in place may prove inadequate in the event of a serious disaster or similar event.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CMOs,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spacing w:after="0" w:line="18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projections regarding the market opportunities for our product candidates may not be accurate, and the actual market for our products may be smaller than we estimate.</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precise incidence and prevalence for all the conditions we aim to address with our product candidates are unknown.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sales of our competitors, scientific literature, surveys of clinics, patient foundations or market research, and may prove to be incorrect in general, or as to their applicability to our company. Further, new trials may change the estimated incidence or prevalence of these diseases. The total addressable market across all of our product candidates will ultimately depend upon, among other things, the diagnosis criteria included in the final labeling for each of our product candidates approved for sale for these indications, the ability of our product candidates to improve on the safety, convenience, cost and efficacy of competing therapies or therapies in development, acceptance by the medical community and patients,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 Further, even if we obtain significant market share for our product candidates, because some of our potential target populations are very small, we may never achieve profitability despite obtaining such significant market share.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may be exposed to failure of our banking institutions.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While we seek to minimize our exposure to third-party losses of our cash and cash equivalents, we hold our balances in a number of large financial institutions. Notwithstanding, those institutions are subject to risk of failure. For example, on March 10, 2023, Silicon Valley Bank (“SVB”) was closed by the California Department of Financial Protection and Innovation, which appointed the Federal Deposit Insurance Corporation (the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the FDIC and the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the FDIC and the Federal Reserve will provide access to uninsured funds in the future in the event of the closure of other banks or financial institutions, or that they would do so in a timely fashion.</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opinion and scrutiny of immunology treatments may impact public perception of our company and product candidates, or may adversely affect our ability to conduct our business and our business plans.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Public perception may be influenced by claims, such as claims that our product candidates are unsafe, unethical or immoral and, consequently, our approach may not gain the acceptance of the public or the medical community. Adverse public attitudes may also adversely impact our ability to enroll clinical trials. Moreover, our success will depend upon physicians specializing in the treatment of those diseases that our product candidates target prescribing, and their patients being</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willing to receive, treatments that involve the use of our product candidates in lieu of, or in addition to, existing treatments they are already familiar with and for which greater clinical data may be available. AEs in our clinical trials, even if not ultimately attributable to our product candidates, and the resulting publicity could result in withdrawal of clinical trial participants,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In addition, side effects generally associated with TYK2 or JAK inhibitors may negatively impact public perception of us or envu and A-005. More restrictive government regulations or negative public opinion could have an adverse effect on our business, financial condition, results of operations and prospects, and may delay or impair the development and, if approved, commercialization of our product candidates or demand for any products we may develop.</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future impairment of acquired IPR&amp;D intangible assets related to the ACELYRIN Merger may negatively affect our results of operations and financial position.</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March 31, 2026, we had $51.0 million of acquired IPR&amp;D intangible assets related to the ACELYRIN Merger. As of March 31, 2026, we evaluated our acquired IPR&amp;D intangible asset for indicators of impairment and concluded that no such indicators were present. In May 2026, following completion of our strategic review of the lonigutamab program, we decided to explore strategic alternatives, the outcome of which could represent an event or change in circumstances requiring an interim impairment assessment of the acquired IPR&amp;D intangible asset. Acquired IPR&amp;D intangible assets are subject to an impairment analysis whenever events or changes in circumstances indicate the carrying amount of the asset may not be recoverable. Additionally, indefinite-lived assets are subject to an impairment test at least annually. Events giving rise to impairment are an inherent risk in the pharmaceutical industry and cannot be predicted. Our results of operations and financial position in future periods could be negatively impacted should future impairments of acquired IPR&amp;D intangible assets occur.</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and any future product candidates we may develop, or if the scope of the intellectual property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rely upon a combination of patents, know-how and confidentiality agreements to protect the intellectual property related to our product candidates and technologies and to prevent third parties from copying and surpassing our achievements, thus eroding our competitive position in our market. 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product candidates and novel discoveries that are important to our business. Our pending and future patent applications may not result in patents being issued. We cannot assure you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products or product candidates.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Obtaining and enforcing patents is expensive and time-consuming, and we may not be able to file, prosecute, maintain, enforce or license all necessary or desirable patent applications or maintain and/or enforce patents that may issue based on our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have in the past and will continue to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 able to prevent any third parties from using any of our technology that is in the public domain to compete with our product candidates.</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Composition of matter patents for pharmaceutical product candidates often provide a strong form of intellectual property protection for those types of products, as such patents provide protection without regard to any method of use. However, we cannot be certain that the claims in our pending patent applications directed to composition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candidates for an indication that is outside the scope of the patented method. Moreover, even if competitors do not actively promote their product for our targeted indications, clinicians may prescribe these products “off-label.” Although off-label prescriptions may infringe or contribute to the infringement of method of use patents, the practice is common and such infringement is difficult to prevent or prosecute.</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or in-licensed patent applications may not result in issued patents that protect our product candidates effectively to prevent others from commercializing our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pending patent applications may be subject to third-party pre-issuance submissions of prior art to the USPTO, or our issued patents may be subject to post-grant review (“PGR”) proceedings, oppositions, derivations, reexaminations, interferences, inter partes review (“IPR”) proceedings or other similar proceedings, in the United States or elsewhere, challenging our patent rights or the patent rights of others. Such submissions may also be made prior to a patent’s issuance, precluding the granting of a patent based on one or more of our owned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product candidates, or limit the duration of the patent protection of our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9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third party may also claim that our patent rights are invalid or unenforceable in a litigation. An adverse result in any legal proceeding could put one or more of our owned or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product candidates might expire before or shortly after such candidates are commercialized.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We cannot ensure that patent rights relating to inventions described and claimed in our or any current or future licensors’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and licensees’ pending patent applications will issue or that patents based on our or any current or future licensors’ and licensees’ patent applications will not be challenged and rendered invalid and/or unenforceable.</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any of our current or future licensors, licensees or collaborators will be successful in protecting our product candidates by obtaining and defending patents. We have several pending United States and foreign patent applications in our portfolio. We cannot predict:</w:t>
      </w:r>
    </w:p>
    <w:p>
      <w:pPr>
        <w:spacing w:after="0" w:line="180" w:lineRule="exact"/>
        <w:rPr>
          <w:sz w:val="20"/>
          <w:szCs w:val="20"/>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or</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will result in issued patents with claims that cover our product candidates or uses thereof in the United States or in other foreign countries.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cannot be certain that the claims in our or any current or future licensors’ pending patent applications directed to our product candidates will be considered patentable by the USPTO or by patent offices in foreign countries. There can be no assurance that any such patent applications will issue as granted patents. One aspect of the determination of patentability of our or any current or future licensors’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or any current or future licensors’ patent claims or, if issued, affect the validity or enforceability of a patent claim. Even if the patents do issue based on our or any current or future licensors’ patent applications, third parties may challenge the validity, enforceability or scope thereof, which may result in such patents being narrowed, invalidated or held unenforceable. Furthermore, even if they are unchallenged, patents in our or any current or future licensors’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Patents are of national or regional effect, and filing, prosecuting and defending patents on all of our research programs and product candidates in all countries throughout the world would be prohibitively expensive.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or any current or future licensors’ inventions in all countries outside the United States, even in jurisdictions where we or any current or future licensors do pursue patent protection, or from selling or importing products made using our or any current or future licensors’ inventions in and into the United States or other jurisdictions. Competitors may use our or any current or future licensors’ technologies in jurisdictions where we have not obtained patent protection to develop their own products and, further, may export otherwise infringing products to territories where we or any current or future</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licensors have patent protection, but enforcement is not as strong as that in the United States. These competitor products may compete with our product candidates, and our or any current or future licensors’ patents or other intellectual property rights may not be effective or sufficient to prevent them from competing.</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do not favor the enforcement of patents and other intellectual property protection, particularly those relating to pharmaceuticals, which could make it difficult for us to stop the infringement of our or any current or future licensors’ patents or marketing of competing products in violation of our proprietary rights.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current or future licensors are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 in the future.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product candidates. While we will endeavor to try to protect our product candidates with intellectual property rights, such as patents, as appropriate, the process of obtaining patents is time consuming, expensive and unpredictable.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pending patent applications that we own or any patents or patent applications that we currently in-license or may in-license in the future;</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current or future licensors or collaborators might not have been the first to make the inventions covered by the pending patent application that we own or may in-license in the future;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current or future licensors or collaborators might not have been the first to file patent applications covering certain of our or their inventions;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or otherwise violating our owned intellectual property rights or any patent applications that we may license in the future;</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noncompliance with the USPTO and foreign governmental patent agencies requirement for a number of procedural, documentary, fee payment and other provisions during the patent process can result in abandonment or lapse of a patent or patent application, and partial or complete loss of patent rights in the relevant jurisdiction;</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patent applications or those that we may own or license in the future will not lead to issued patents;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if any arise in the future, that we either own or that we may license in the future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revoked, modified, or held invalid or unenforceable, as a result of legal challenges by our competitors;</w:t>
      </w:r>
    </w:p>
    <w:p>
      <w:pPr>
        <w:spacing w:after="0" w:line="225" w:lineRule="exact"/>
        <w:rPr>
          <w:sz w:val="20"/>
          <w:szCs w:val="20"/>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scope of protection of any patent issuing based on our or any current or future licensors’ patent applications, including whether the patent applications that we own, or, in the future, in-license will result in issued patents with claims directed to our product candidates or uses thereof in the United States or in other foreign countries;</w:t>
      </w:r>
    </w:p>
    <w:p>
      <w:pPr>
        <w:spacing w:after="0" w:line="179"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those upheld by United States courts, allowing foreign competitors a better opportunity to create, develop and market competing product candidates; the claims of any patent issuing based on our patent applications may not provide protection against competitors or any competitive advantages, or may be challenged by third parties;</w:t>
      </w:r>
    </w:p>
    <w:p>
      <w:pPr>
        <w:spacing w:after="0" w:line="179"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enforced, a court may not hold that our patents, if they issue in the future, are valid, enforceable and infringed;</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initiate litigation or administrative proceedings to enforce and/or defend our patent rights which will be costly whether we win or lose;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application covering such intellectual property;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adequately protect and police our trademarks and trade secrets;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including if others obtain patents claiming subject matter similar to or improving that covered by our patent applications.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Should any of these or similar events occur, they could significantly harm our business, financial condition, results of operations and prospects.</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w:t>
      </w:r>
    </w:p>
    <w:p>
      <w:pPr>
        <w:spacing w:after="0" w:line="15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w:t>
      </w:r>
    </w:p>
    <w:p>
      <w:pPr>
        <w:sectPr>
          <w:pgSz w:w="11900" w:h="16838" w:orient="portrait"/>
          <w:cols w:equalWidth="0" w:num="1">
            <w:col w:w="9019"/>
          </w:cols>
          <w:pgMar w:left="1440" w:top="513"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Numerous United States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United States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product candidates or the use of our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our product candidates or will prevent, limit or otherwise interfere with our ability to make, use or sell our product candidates.</w:t>
      </w:r>
    </w:p>
    <w:p>
      <w:pPr>
        <w:spacing w:after="0" w:line="19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cannot provide any assurances that third-party patents and other intellectual property rights do not exist which might be enforced against our current technology, including our research programs,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other intellectual property, which could be expensive, time-consuming and unsuccessful.</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Competitors or other third parties may infringe our patents, trademarks or other intellectual property. To counter infringement or unauthorized use, we or any current or future licensors may be required to file infringement claims, which can be expensive and time consuming and divert the time and attention of our management and scientific personnel. Our or any current or future licensors’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or any current or future licensors’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or any current or future licensors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grounds that our or any current or future licensors’ patent claims do not cover the invention, or decide that the other party’s use of our or any current or future licensors’ patented technology falls under the safe harbor to patent infringement under 35 U.S.C. §271(e)(1). An adverse outcome in a litigation or proceeding involving our or any current or future licensors’ patents could limit our ability to assert our or any current or future licensors’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third-party claims of intellectual property infringement, which may prevent or delay our product discovery and development efforts.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avoiding infringement of the patents and proprietary rights of third parties. There is a substantial amount of litigation involving the infringement of patents and other intellectual property rights in the biotechnology and pharmaceutical industries. We may be exposed to, or threatened with, future litigation by third parties having patent or other intellectual property rights and who allege that our product candidates, uses and/or other proprietary technologies infringe their intellectual property rights. Numerous United States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Thus, because of the large number of patents issued and patent applications currently pending in our fields, there may be a risk that third parties may allege they have patent rights which are infringed by our product candidates, technologies or methods.</w:t>
      </w:r>
    </w:p>
    <w:p>
      <w:pPr>
        <w:spacing w:after="0" w:line="19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If a third party alleges that we infringe its intellectual property rights, we may face a number of issues, including, but not limited to:</w:t>
      </w:r>
    </w:p>
    <w:p>
      <w:pPr>
        <w:spacing w:after="0" w:line="162" w:lineRule="exact"/>
        <w:rPr>
          <w:sz w:val="20"/>
          <w:szCs w:val="20"/>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misappropriation which, regardless of merit, may be expensive and time-consuming to litigate and may divert our management’s attention from our core business;</w:t>
      </w:r>
    </w:p>
    <w:p>
      <w:pPr>
        <w:spacing w:after="0" w:line="39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or misappropriation, which we may have to pay if a court decides that the product candidate or technology at issue infringes on or violates the third-party’s rights, and, if the court finds we have willfully infringed intellectual property rights, we could be ordered to pay treble damages and the patent owner’s attorneys’ fees;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injunction prohibiting us from manufacturing, marketing or selling our product candidates, or from using our proprietary technologies, unless the third party agrees to license its patent rights to us;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license is available from a third party, we may have to pay substantial royalties, upfront fees and other amounts, and/or grant cross-licenses to intellectual property rights protecting our products;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try to redesign our product candidates or processes so they do not infringe third-party intellectual property rights, an undertaking which may not be possible or which may require substantial monetary expenditures and time.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preclinical and clinical trials and other development activities in the United States is not considered an act of infringement. While we may believe that patent claims or other intellectual property rights of a third party would not have a materially adverse effect on the commercialization of our product candidates, we may be incorrect in this belief, or we may not be able to prove it in litigation. In this regard, patents issued in the United States by law enjoy a presumption of validity that can be rebutted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product candidates.</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Patent applications can take many years to issue.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 If any third-party patents, held now or obtained in the future by a third party, were found by a court of competent jurisdiction to cover the manufacturing process of our product candidates,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any aspect of our formulations, any combination therapies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if approved,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in-licenses.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Because our development programs may in the future require the use of proprietary rights held by third parties, the growth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on commercially reasonable terms or at all. Even if we are able to in-license any such necessary intellectual property, it could be on nonexclusive terms, thereby giving our competitors and other third parties access to the same intellectual property licensed to us, and it could require us to make substantial licensing and royalty payments.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obtained, we may have to abandon development of the relevant program or product candidate, which could adversely affect our business, financial condition, results of operations and prospects.</w:t>
      </w:r>
    </w:p>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enter into license agreements in the future with others to advance our existing or future research or allow commercialization of our existing or future product candidates, if approved. These licenses may not provide exclusive rights to use such intellectual property and technology in all relevant fields of use and in all territories in which we may wish to develop or commercialize our technology and product candidates in the future. In that event, we may be required to expend significant time and resources to redesign our product candidates, or the methods for manufacturing them, all of which may not be feasible on a technical or commercial basis. If we are unable to do so, we may be unable to develop or commercialize the affected product candidates, if approved, which could harm our business, financial condition, results of operations, and prospects significantly. We cannot provide any assurances that third-party patents do not exist which might be enforced against our current manufacturing methods, product candidates, or future methods or product candidates resulting in either an injunction prohibiting our manufacture or future sales, or, with respect to our future sales, an obligation on our part to pay royalties and/or other forms of compensation to third parties, which could be significant.</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or any current or future licensors’ patents and other intellectual property.</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or any current or future licensors’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9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Any current or future licensors may have relied on third-party consultants or collaborators or on funds from third parties, such as the United States government, such that these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form or seek collaborations or strategic alliances or enter into licensing arrangements in the future, and we may neither enter into, nor realize the benefits of, such alliances or licensing arrangements.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current, and any future, collaborations that we enter into may not be successful and we may not enter into such collaborations at all. The success of our collaboration arrangements will depend heavily on the efforts and activities of any future collaborators. Collaborations are subject to numerous risks, which may include that:</w:t>
      </w:r>
    </w:p>
    <w:p>
      <w:pPr>
        <w:spacing w:after="0" w:line="176" w:lineRule="exact"/>
        <w:rPr>
          <w:sz w:val="20"/>
          <w:szCs w:val="20"/>
          <w:color w:val="auto"/>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have significant discretion in determining the efforts and resources that they will apply to collaborations;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1"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pursue development and commercialization of our product candidates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79"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could independently develop, or develop with third parties, products that compete directly or indirectly with our product candidates;</w:t>
      </w:r>
    </w:p>
    <w:p>
      <w:pPr>
        <w:spacing w:after="0" w:line="161"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 with marketing, manufacturing and distribution rights to one or more products may not commit sufficient resources to or otherwise not perform satisfactorily in carrying out these activities;</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could grant exclusive rights to our collaborators that would prevent us from collaborating with others;</w:t>
      </w:r>
    </w:p>
    <w:p>
      <w:pPr>
        <w:spacing w:after="0" w:line="22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disputes may arise between us and a collaborator that causes the delay or termination of the research, development or commercialization of our future product candidates or that results in costly litigation or arbitration that diverts management attention and resources;</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collaborations may be terminated, and, if terminated, may result in a need for additional capital to pursue further development or commercialization of the applicable future product candidates;</w:t>
      </w:r>
    </w:p>
    <w:p>
      <w:pPr>
        <w:spacing w:after="0" w:line="161"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collaborators may own or co-own intellectual property covering our product candidates that results from our collaborating with them, and in such cases, we would not have the exclusive right to develop or commercialize such intellectual property; and</w:t>
      </w:r>
    </w:p>
    <w:p>
      <w:pPr>
        <w:spacing w:after="0" w:line="17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collaborator’s sales and marketing activities or other operations may not be in compliance with applicable laws, resulting in civil or criminal proceedings.</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the agreements under which we in-license or acquire development or commercialization rights to product candidates, or data from third parties, we could lose such rights that are important to our business.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heavily reliant upon licenses to certain patent rights and other intellectual property for the development of lonigutamab. For example, we depend on licenses from Pierre Fabre for certain intellectual property relating to the development and commercialization of lonigutamab, respectively, in specific territories.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Pierre Fabre may have relied upon, and any future licensors may rely upon, third-party companies, consultants or collaborators, or on funds from third parties such that our licensors are not the sole and exclusive owners of the patents we in-licensed. If our licensors, including Pierre Fabre, fail to prosecute, maintain, enforce, and defend such patents, or lose rights to those patents, the rights we have licensed may be reduced or eliminated, and our right to develop and commercialize lonigutamab could be adversely affected. Our future licenses may not provide us with exclusive rights to use the licensed patent rights and other intellectual property licensed thereunder, or may not provide us with exclusive rights to use such patent rights and intellectual property in all relevant fields of use and in all territories in which we wish to develop or commercialize lonigutamab or our other product candidates in the future.</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spite of our efforts, licensors might conclude that we are in material breach of obligations under our license agreements and may therefore have the right to terminate the license agreements, thereby removing our ability to develop and commercialize product candidates and technology covered by such license agreements. In addition, our exploration and any potential consummation of strategic alternatives for the lonigutamab program may require us to seek amendments to, or waivers under, our existing license agreement with Pierre Fabre, and there can be no assurance that such amendments or waivers would be agreed to on commercially acceptable terms or at all. If such in-licenses are terminated, or if the underlying patents fail to provide the intended exclusivity, our competitors would have the freedom to seek regulatory approval of, and to market, products identical to our product candidates and the licensors to such in-licenses could prevent us from developing or commercializing product candidates that rely upon the patents or other intellectual property rights which were the subject matter of such terminated agreements.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and compete with our existing product candidates. Any of these events could adversely affect our business, financial condition, results of operations, and prospects.</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25" w:lineRule="exact"/>
        <w:rPr>
          <w:sz w:val="20"/>
          <w:szCs w:val="20"/>
          <w:color w:val="auto"/>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financial or other obligations under the license agreement;</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extent to which our processes infringe on intellectual property of the licensor that is not subject to the licensing agreement;</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sublicensing of patent and other rights under our collaborative development relationships;</w:t>
      </w:r>
    </w:p>
    <w:p>
      <w:pPr>
        <w:spacing w:after="0" w:line="225"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diligence obligations under the license agreement and what activities satisfy those obligations;</w:t>
      </w:r>
    </w:p>
    <w:p>
      <w:pPr>
        <w:spacing w:after="0" w:line="225" w:lineRule="exact"/>
        <w:rPr>
          <w:rFonts w:ascii="Times New Roman" w:cs="Times New Roman" w:eastAsia="Times New Roman" w:hAnsi="Times New Roman"/>
          <w:sz w:val="18"/>
          <w:szCs w:val="18"/>
          <w:color w:val="231F20"/>
        </w:rPr>
      </w:pPr>
    </w:p>
    <w:p>
      <w:pPr>
        <w:ind w:left="720" w:right="79" w:hanging="319"/>
        <w:spacing w:after="0" w:line="282" w:lineRule="auto"/>
        <w:tabs>
          <w:tab w:leader="none" w:pos="720" w:val="left"/>
        </w:tabs>
        <w:numPr>
          <w:ilvl w:val="0"/>
          <w:numId w:val="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inventorship or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231F20"/>
        </w:rPr>
      </w:pPr>
    </w:p>
    <w:p>
      <w:pPr>
        <w:ind w:left="720" w:hanging="319"/>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priority of invention of patented technology.</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our license agreements are, and any future license agreements are likely to be, complex, and certain provisions in such agreements may be susceptible to multiple interpretations.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resolution of any contract interpretation disagreement that may arise could narrow what we believe to be the scope of our rights to the relevant intellectual property or increase what we believe to be our financial or other obligations under the relevant agreement, either of which could adversely affect our business, financial condition, results of operations, and prospects. Moreover, if disputes over intellectual property that we have licensed or may license in the future prevent or impair our ability to maintain our current or future licensing arrangements on commercially acceptable terms, we may be unable to successfully develop and commercialize the affected product candidates, which could adversely affect our business, financial condition,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license agreements that subject us to certain rights retained by third parties.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entered into the Kaken Collaboration Agreement with Kaken, pursuant to which we have granted Kaken an exclusive license to develop, manufacture and commercialize envu for dermatology indications in Japan. Under the Kaken Collaboration Agreement, Kaken has options to expand the license into rheumatological and gastrointestinal indications in Japan, and Kaken is responsible for the clinical development, regulatory approvals and commercialization of envu in Japan in dermatology and other indications for which Kaken has exercised its option. We retain global rights to envu outside of those granted to Kaken. In addition, any future licensors may retain certain rights under the relevant agreements with us, including the right to use the underlying product candidates for academic and research use, to publish general scientific findings from research related to the product candidates, to make customary scientific and scholarly disclosures of information relating to the product candidates, or to develop or commercialize the licensed product candidates in certain regions.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the United States federal government retains certain rights in inventions produced with its financial assistance under the Patent and Trademark Law Amendments Act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may at times choose to collaborate with academic institutions to accelerate our preclinical research or development. While we do not currently engage, and it is our policy to avoid engaging, university partners in projects in which there is a risk that federal funds may be commingled, we cannot be sure that any co-developed intellectual property will be free from government rights pursuant to the Bayh-Dole Act. If, in the future, we co-own or license technology which is critical to our business that is developed in whole or in part with federal funds subject to the Bayh-Dole Act, our ability to enforce or otherwise exploit patents covering such technology may be adversely affected.</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(the “Leahy-Smith Act”), signed into law on September 16, 2011, could increase those uncertainties and costs surrounding the prosecution of patent applications filed after March 2013 and the enforcement or defense of our future issued patents or claiming priority to patent applications filed after March 2013.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w:t>
      </w:r>
    </w:p>
    <w:p>
      <w:pPr>
        <w:spacing w:after="0" w:line="19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or any current or future licensors’ patent claims that would not have been invalidated if first challenged by the third party as a defendant in a district court action. Thus, the Leahy-Smith Act and its implementation could increase the uncertainties and costs surrounding the prosecution of our or any current or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licensors’ patent applications and the enforcement or defense of our or any current or future licensors’ future issued patents, all of which could adversely affect our business, financial condition, results of operations and prospects.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A third party that files a patent application in the USPTO after March 2013, but before we file an application covering the same invention, could therefore be awarded a patent covering an invention of ours or any current or future licensors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or any current or future licensors were the first to either (i) file any patent application related to our product candidates and other proprietary technologies we may develop or (ii) invent any of the inventions claimed in our or any current or future licensors’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However, the Leahy-Smith Act and its implementation could increase the uncertainties and costs surrounding the prosecution of our patent applications and the enforcement or defense of our future issued patents, all of which could adversely affect our business, financial condition, results of operations and prospects.</w:t>
      </w:r>
    </w:p>
    <w:p>
      <w:pPr>
        <w:spacing w:after="0" w:line="19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The United States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or any current or future licensors’ ability to obtain new patents and patents that we or any current or future licensors might obtain in the future. We cannot predict how future decisions by the courts, the United States Congress or the USPTO may impact the value of our patents. Any similar adverse change in the patent laws of other jurisdictions could also adversely affect our business, financial condition, results of operations and prospects.</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patents and allow for the possibility of a competitor to obtain pan-European injunction. Such a loss of patent protection could have a material adverse impact on our business and our ability to commercialize our technology and product candidates and, resultantly, on our business, financial condition, prospects and results of operations.</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patents and patent applications. We rely on our outside patent counsel to pay these fees due to United States and non-United States patent agencies. The USPTO and various non-United States government patent agencies require compliance with several procedural, documentary, fee payment and other similar provisions during the patent application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process.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an adequate amount of time.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competitive products, including generics or biosimilars. Given the amount of time required for the development, testing and regulatory review of products or new product candidates, patents protecting such products or candidates might expire before or shortly after such products or candidates are commercialized. As a result, our patent portfolio may not provide us with sufficient and continuing rights to exclude others from commercializing products similar or identical to ours.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our product candidates, our business may be materially harmed.</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regulatory approval of our product candidates, one or more of our issued United States patents or issued United States patents that we may own in the future may be eligible for limited patent term extension under the Drug Price Competition and Patent Term Restoration Action of 1984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patent term restoration provisions to compensate for commercialization delay caused by regulatory review are also available in certain foreign jurisdictions, such as in Europe under SPC.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trade secrets, our business and competitive position would be harmed.</w:t>
      </w:r>
    </w:p>
    <w:p>
      <w:pPr>
        <w:spacing w:after="0" w:line="24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the protection afforded by patents, we seek to rely on trade secret protection to protect proprietary know-how that is not patentable, processes for which patents are difficult to enforce and any other elements of our product discovery and development processes that involve proprietary know-how, information, or technology that is not covered by our patents. We may not be able to meaningfully protect our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to our competitors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1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Monitoring and detecting unauthorized disclosure or other compromise of trade secrets is difficult, and we do not know whether the steps we have taken to prevent such compromise are, or will be, adequate. If we were to enforce a claim that a third party had illegally obtained and was using our trade secrets, it would be expensive and time-consuming, and the outcome would be unpredictable. 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For example, significant elements of our business, including confidential aspects of sample preparation, methods of manufacturing, proprietary assays, computational-biological algorithms, data analytics and machine learning related to genetics, genomics, proteomics, biomarkers and samples, and related processes and software, are based on unpatented trade secrets, including those of our collaborators. For example, our collaborator, Foresite Labs, utilizes extensive trade secret algorithms, machine learning and AI analysis techniques, and we rely on their maintenance of these trade secrets.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9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we may in the future be subject to claims by former employees, consultants or other third parties asserting an ownership right in our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unregistered trademarks, trade names or future registered trademarks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for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We may also be subject to penalties if we fail to comply with regulatory requirements or experience unanticipated problems with our product candidates.</w:t>
      </w:r>
    </w:p>
    <w:p>
      <w:pPr>
        <w:spacing w:after="0" w:line="165"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or our future collaborators obtain for our product candidates may also be subject to limitations on the approved indicated uses for which a product may be marketed or to the conditions of approval, or contain requirements for potentially costly post-marketing testing and surveillance to monitor the safety and efficacy of the product candidate.</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if the FDA or a comparable foreign regulatory authority approves our product candidates, the manufacturing processes, labeling, packaging, distribution, post-approval monitoring and AE reporting, storage, import, export, advertising, promotion and recordkeeping for the product will be subject to extensive and ongoing regulatory requirements.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after approval, which may impose further requirements or restrictions on the distribution or use of an approved drug. Comparable foreign regulatory authorities may have similar authority. The manufacturing facilities we use to make a future product, if any, will also be subject to periodic review and inspection by the FDA and other regulatory authorities,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As we expect to rely on third-party manufacturers, we will have limited control over compliance with applicable rules and regulations by such manufacturers.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any product promotion and advertising will also be subject to regulatory requirements and continuing regulatory review. For example, the FDA and comparable foreign regulatory authorities impose stringent restrictions on manufacturers’ communications regarding use of their products. Although clinicians may prescribe products for off-label uses, as the FDA and comparable foreign regulatory authorities do not regulate a physician’s choice of drug treatment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made in the physician’s independent medical judgment, the FDA and such comparable foreign regulatory authorities do restrict promotional communications from companies or their sales force with respect to off-label uses of products. Specifically, any regulatory approval that the FDA grants is limited to those specific diseases and indications for which a product is deemed to be safe and effective by FDA, and our ability to promote any products will be narrowly limited to those indications that are specifically approved by the FDA. Similar restrictions apply in other countries. In the EU, applicable laws require that promotional materials and advertising in relation to medicinal products comply with the product’s Summary of Product Characteristics (“SmPC”) which may require approval by the competent national authorities in connection with a marketing authorization. The SmPC is the document that provides information to physicians concerning the safe and effective use of the product. Promotional activity that does not comply with the SmPC is considered off-label and is prohibited in the EU. If we are found to have promoted such off-label uses, we may become subject to significant liability. In addition, if we do not conduct head-to-head comparative clinical trials for our product candidates, we will be unable to make comparative claims regarding any other products in the promotional materials for our product candidates. If we promote our products, if approved, in a manner inconsistent with FDA-approved labeling, or the labeling approved by another comparable foreign regulatory authority, or otherwise not in compliance with FDA regulations or comparable foreign rules, we may be subject to enforcement action.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Subsequent discovery of previously unknown problems with a product, including AEs of unanticipated severity or frequency, or with our third-party manufacturers or manufacturing processes, or failure by us, our contract manufacturers or service providers, or collaborators to comply with regulatory requirements, may result in, among other things:</w:t>
      </w:r>
    </w:p>
    <w:p>
      <w:pPr>
        <w:spacing w:after="0" w:line="176" w:lineRule="exact"/>
        <w:rPr>
          <w:sz w:val="20"/>
          <w:szCs w:val="20"/>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61"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 or requirements to conduct post-marketing studies or clinical trials;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foreign regulatory authorities to approve, or delays in the approval of, pending applications or supplements to approved applications;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variation or revocation of product approvals;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FDA’s and comparable foreign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or executive action, either in the United States or abroad. In addition, the U.S. Supreme Court’s July 2024 decision to overturn established case law giving deference to regulatory agencies’ interpretations of ambiguous statutory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language has introduced uncertainty regarding the extent to which the FDA’s regulations, policies and decisions may become subject to increasing legal challenges, delays, and/or changes. As a result of the U.S. Supreme Court’s decision, the FDA and other agencies may be less inclined to engage in formal regulation and may rely to a greater degree on informal guidance, which may not always be susceptible to immediate challenge. We cannot predict the likelihood, nature or extent of government regulation or guidance that may arise from future court decisions,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8"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Recently enacted legislation, future legislation and other healthcare reform measures may increase the difficulty and cost for us to obtain regulatory approval for and commercialize our product candidates and may affect the prices we may set.</w:t>
      </w:r>
    </w:p>
    <w:p>
      <w:pPr>
        <w:spacing w:after="0" w:line="13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product candidates for which we obtain regulatory approval. In particular, there have been and continue to be a number of initiatives at the U.S. federal and state levels that seek to reduce healthcare costs and improve the quality of healthcare.</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(collectively, the “ACA”) was enacted in the United States, which made a number of substantial changes in the way healthcare is financed by both governmental and private insurers. Since its enactment, there have been amendments and judicial, Congressional and executive branch challenges to certain aspects of the ACA. For example, on July 4, 2025,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7"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establishing Most-Favored-Nation pricing for pharmaceutical products and launching an online clearinghouse, referred to as TrumpRx, for patients to purchase certain products from manufacturers on a cash pay basis;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among other things, impact the drug approval process and make changes to the Medicare Drug Price Negotiation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Program.</w:t>
      </w:r>
    </w:p>
    <w:p>
      <w:pPr>
        <w:spacing w:after="0" w:line="22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materially and adversely affect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expect that these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spacing w:after="0" w:line="187"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7"/>
          <w:szCs w:val="17"/>
          <w:color w:val="auto"/>
        </w:rPr>
        <w:t>Moreover, in order to obtain reimbursement for our products in some European countries, including some EU member states, we may be required to compile additional data comparing the cost-effectiveness of our products to other available therapies. This assessment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original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On January 12, 2025, Regulation No 2021/2282 on HTA amending Directive 2011/24/EU, entered into force through a phased implementation depending on the concerned products. The Regulation intends to boost cooperation among EU member states in assessing health technologies, including new medicinal products. The Regulation establishes the framework for EU level joint clinical assessments, joint clinical assessments, joint scientific consultations, and the early identification of emerging health technologies. It permits EU member states to use common HTA tools, methodologies, and procedures across the EU, working together in four main areas and requires them to rely on EU-level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w:t>
      </w:r>
    </w:p>
    <w:p>
      <w:pPr>
        <w:spacing w:after="0" w:line="200" w:lineRule="exact"/>
        <w:rPr>
          <w:sz w:val="20"/>
          <w:szCs w:val="20"/>
          <w:color w:val="auto"/>
        </w:rPr>
      </w:pPr>
    </w:p>
    <w:p>
      <w:pPr>
        <w:spacing w:after="0" w:line="201"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relationships with healthcare providers, healthcare organizations and third-party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arrangements with healthcare providers, healthcare organizations and third-party payors will expose us to broadly applicable anti-bribery, fraud and abuse and other healthcare laws and regulations that may constrain the business or financial arrangements and relationships through which we research, market, sell and distribute our product candidates, if approved. Restrictions under applicable federal, state and foreign anti-bribery and healthcare laws and regulations, include the following:</w:t>
      </w:r>
    </w:p>
    <w:p>
      <w:pPr>
        <w:spacing w:after="0" w:line="183" w:lineRule="exact"/>
        <w:rPr>
          <w:sz w:val="20"/>
          <w:szCs w:val="20"/>
          <w:color w:val="auto"/>
        </w:rPr>
      </w:pPr>
    </w:p>
    <w:p>
      <w:pPr>
        <w:jc w:val="both"/>
        <w:ind w:left="720" w:right="79" w:hanging="319"/>
        <w:spacing w:after="0" w:line="261" w:lineRule="auto"/>
        <w:tabs>
          <w:tab w:leader="none" w:pos="720"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Anti-Kickback Statute, which prohibits, among other things, individuals and entities from knowingly and willfully soliciting, offering, receiving or providing remuneration, directly or indirectly, in cash or in kind, to induce or reward, or in return for, either the referral of an individual for, or the purchase, order or recommendation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spacing w:after="0" w:line="266" w:lineRule="auto"/>
        <w:rPr>
          <w:sz w:val="20"/>
          <w:szCs w:val="20"/>
          <w:color w:val="auto"/>
        </w:rPr>
      </w:pPr>
      <w:r>
        <w:rPr>
          <w:rFonts w:ascii="Times New Roman" w:cs="Times New Roman" w:eastAsia="Times New Roman" w:hAnsi="Times New Roman"/>
          <w:sz w:val="18"/>
          <w:szCs w:val="18"/>
          <w:color w:val="231F20"/>
        </w:rPr>
        <w:t>of, any good or service, for which payment may be made, in whole or in part, under a federal and state healthcare program such as Medicare and Medicaid. A person or entity does not need to have actual knowledge of the statute or specific intent to violate it in order to have committed a violation;</w:t>
      </w:r>
    </w:p>
    <w:p>
      <w:pPr>
        <w:spacing w:after="0" w:line="176" w:lineRule="exact"/>
        <w:rPr>
          <w:sz w:val="20"/>
          <w:szCs w:val="20"/>
          <w:color w:val="auto"/>
        </w:rPr>
      </w:pPr>
    </w:p>
    <w:p>
      <w:pPr>
        <w:jc w:val="both"/>
        <w:ind w:left="720" w:right="79" w:hanging="319"/>
        <w:spacing w:after="0" w:line="254"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federal criminal and civil false claims laws, including the federal False Claims Act, which can be enforced through civil whistleblower or qui tam actions against individuals or entities, and the Federal Civil Monetary Penalties Laws, which prohibit, among other things,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certain marketing practices, including off-label promotion, may also violate false claims laws. Moreover, the government may assert that a claim including items and services resulting from a violation of the federal Anti-Kickback Statute constitutes a false or fraudulent claim for purposes of the federal False Claims Act;</w:t>
      </w:r>
    </w:p>
    <w:p>
      <w:pPr>
        <w:spacing w:after="0" w:line="228" w:lineRule="exact"/>
        <w:rPr>
          <w:rFonts w:ascii="Times New Roman" w:cs="Times New Roman" w:eastAsia="Times New Roman" w:hAnsi="Times New Roman"/>
          <w:sz w:val="18"/>
          <w:szCs w:val="18"/>
          <w:color w:val="231F20"/>
        </w:rPr>
      </w:pPr>
    </w:p>
    <w:p>
      <w:pPr>
        <w:jc w:val="both"/>
        <w:ind w:left="720" w:right="79" w:hanging="319"/>
        <w:spacing w:after="0" w:line="256"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Health Insurance Portability and Accountability Act (“HIPAA”), which imposes criminal and civil liability, prohibits,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7" w:lineRule="exact"/>
        <w:rPr>
          <w:rFonts w:ascii="Times New Roman" w:cs="Times New Roman" w:eastAsia="Times New Roman" w:hAnsi="Times New Roman"/>
          <w:sz w:val="18"/>
          <w:szCs w:val="18"/>
          <w:color w:val="231F20"/>
        </w:rPr>
      </w:pPr>
    </w:p>
    <w:p>
      <w:pPr>
        <w:jc w:val="both"/>
        <w:ind w:left="720" w:right="79" w:hanging="319"/>
        <w:spacing w:after="0" w:line="261"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HIPAA, as amended by the Health Information Technology for Economic and Clinical Health Act of 2009,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79" w:lineRule="exact"/>
        <w:rPr>
          <w:rFonts w:ascii="Times New Roman" w:cs="Times New Roman" w:eastAsia="Times New Roman" w:hAnsi="Times New Roman"/>
          <w:sz w:val="18"/>
          <w:szCs w:val="18"/>
          <w:color w:val="231F20"/>
        </w:rPr>
      </w:pPr>
    </w:p>
    <w:p>
      <w:pPr>
        <w:jc w:val="both"/>
        <w:ind w:left="720" w:right="79" w:hanging="319"/>
        <w:spacing w:after="0" w:line="273" w:lineRule="auto"/>
        <w:tabs>
          <w:tab w:leader="none" w:pos="720" w:val="left"/>
        </w:tabs>
        <w:numPr>
          <w:ilvl w:val="0"/>
          <w:numId w:val="4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federal legislation commonly referred to as the Physician Payments Sunshine Act, enacted as part of the ACA, and its implementing regulations, which requires certain manufacturers of covered drugs, devices, biologics and medical supplies that are reimbursable under Medicare, Medicaid, or the Children’s Health Insurance Program, with certain exceptions, to report annually to CMS information on certain payments and other transfers of value to clinicians (defined to include doctors, dentists, optometrists, podiatrists and chiropractors), teaching hospitals, and certain other health care providers (such as physician assistants and nurse practitioners), as well as ownership and investment interests held by the clinicians described above and their immediate family members;</w:t>
      </w:r>
    </w:p>
    <w:p>
      <w:pPr>
        <w:spacing w:after="0" w:line="171" w:lineRule="exact"/>
        <w:rPr>
          <w:rFonts w:ascii="Times New Roman" w:cs="Times New Roman" w:eastAsia="Times New Roman" w:hAnsi="Times New Roman"/>
          <w:sz w:val="17"/>
          <w:szCs w:val="17"/>
          <w:color w:val="231F20"/>
        </w:rPr>
      </w:pPr>
    </w:p>
    <w:p>
      <w:pPr>
        <w:jc w:val="both"/>
        <w:ind w:left="720" w:right="79" w:hanging="319"/>
        <w:spacing w:after="0" w:line="258"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U.S. Foreign Corrupt Practices Act of 1977, as amended, which prohibits, among other things, U.S. companies and their employees and agents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83" w:lineRule="exact"/>
        <w:rPr>
          <w:rFonts w:ascii="Times New Roman" w:cs="Times New Roman" w:eastAsia="Times New Roman" w:hAnsi="Times New Roman"/>
          <w:sz w:val="18"/>
          <w:szCs w:val="18"/>
          <w:color w:val="231F20"/>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analogous state and foreign laws and regulations, such as state and foreign anti-kickback and false claims laws, that may apply to sales or marketing arrangements and claims involving healthcare items or services reimbursed by non-governmental third-party payors, including private insurers; and</w:t>
      </w:r>
    </w:p>
    <w:p>
      <w:pPr>
        <w:spacing w:after="0" w:line="175" w:lineRule="exact"/>
        <w:rPr>
          <w:rFonts w:ascii="Times New Roman" w:cs="Times New Roman" w:eastAsia="Times New Roman" w:hAnsi="Times New Roman"/>
          <w:sz w:val="18"/>
          <w:szCs w:val="18"/>
          <w:color w:val="231F20"/>
        </w:rPr>
      </w:pPr>
    </w:p>
    <w:p>
      <w:pPr>
        <w:jc w:val="both"/>
        <w:ind w:left="720" w:right="79" w:hanging="319"/>
        <w:spacing w:after="0" w:line="258" w:lineRule="auto"/>
        <w:tabs>
          <w:tab w:leader="none" w:pos="72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certain state and foreign laws that require pharmaceutical companies to comply with the pharmaceutical industry’s voluntary compliance guidelines and the relevant compliance guidance promulgated by the government in addition to requiring drug manufacturers to report information related to payments to clinicians and other healthcare providers or marketing expenditures and drug pricing information, and state and local laws that require the registration of pharmaceutical sales representatives.</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the EU, interactions between pharmaceutical companies and healthcare professionals and healthcare organizations are governed by strict laws, regulations, industry self-regulation codes of conduct and physicians’ codes of professional conduct both at EU level and in the individual EU member states. The provision of benefits or advantages to healthcare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professionals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transparency and reporting rules may require pharmaceutical companies to report/publish transfers of value provided to healthcare professionals and associations on a regular (e.g. annual) basis.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or our future collaborators, manufacturers or service providers fail to comply with applicable federal, state or foreign laws or regulations, we could be subject to enforcement actions, which could affect our ability to develop, market and sell our product candidates successfully and could harm our reputation and lead to reduced acceptance of our products, if approved by the market.</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significant penalties, including civil, criminal and administrative penalties, damages, fines, disgorgement, imprisonment, the curtailment or restructuring of our operations, loss of eligibility to obtain approvals from the FDA or comparable foreign regulatory authorities, exclusion from participation in government contracting, healthcare reimbursement or other government programs, including Medicare and Medicaid or comparable foreign programs, integrity oversight and reporting obligations, or reputational harm, any of which could adversely affect our financial results.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the United States tend to impose strict price controls, which may adversely affect our revenue, if any.</w:t>
      </w:r>
    </w:p>
    <w:p>
      <w:pPr>
        <w:spacing w:after="0" w:line="24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regulatory approval for a drug. To obtain coverage and reimbursement or pricing approval in some countries, we may be required to conduct a study that compares the cost-effectiveness of our product candidate to other available therapies. In addition, many countries outside the United States have limited government support programs that provide for reimbursement of drugs such as our product candidates, with an emphasis on private payors for access to commercial products. If reimbursement of our products, if approved, is unavailable or limited in scope or amount, or if pricing is set at unsatisfactory levels, our business could be materially harmed.</w:t>
      </w:r>
    </w:p>
    <w:p>
      <w:pPr>
        <w:spacing w:after="0" w:line="18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rules; contractual obligations; policies; and other obligations related to data privacy and security. Our (including the third parties with whom we work) actual or perceived failure to comply with such obligations could lead to regulatory investigations or actions; litigation; fines and penalties; disruptions of our business operations; reputational harm; loss of revenue or profits; and other adverse consequences for our business, results of operations and financial condition.</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or processing) personal information and other sensitive information, including proprietary and confidential business data, trade secrets, employee data, intellectual property, data we collect about trial participants in connection with clinical trials, and other sensitive third-party data (collectively, sensitive information). Our data processing activities presently and may in the future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9" w:lineRule="exact"/>
        <w:rPr>
          <w:sz w:val="20"/>
          <w:szCs w:val="20"/>
          <w:color w:val="auto"/>
        </w:rPr>
      </w:pPr>
    </w:p>
    <w:p>
      <w:pPr>
        <w:jc w:val="both"/>
        <w:ind w:left="60" w:right="79"/>
        <w:spacing w:after="0" w:line="281" w:lineRule="auto"/>
        <w:rPr>
          <w:sz w:val="20"/>
          <w:szCs w:val="20"/>
          <w:color w:val="auto"/>
        </w:rPr>
      </w:pPr>
      <w:r>
        <w:rPr>
          <w:rFonts w:ascii="Times New Roman" w:cs="Times New Roman" w:eastAsia="Times New Roman" w:hAnsi="Times New Roman"/>
          <w:sz w:val="17"/>
          <w:szCs w:val="17"/>
          <w:color w:val="auto"/>
        </w:rPr>
        <w:t>Various federal, state, local and foreign legislative and regulatory bodies, or self-regulatory organizations, may expand current laws, rules or regulations, enact new laws, rules or regulations or issue revised rules or guidance regarding data privacy and security. Implementation standards and enforcement practices are likely to remain uncertain for the foreseeable future, and we cannot yet determine the impact future laws, regulations, standards, or perception of their requirements may</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have on our business.</w:t>
      </w:r>
    </w:p>
    <w:p>
      <w:pPr>
        <w:spacing w:after="0" w:line="225"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information privacy laws, and consumer protection laws. For example, HIPAA imposes specific requirements relating to the privacy, security, and transmission of individually identifiable health information. We may obtain health information from third parties that are subject to privacy and security requirements under HIPAA. Depending on the facts and circumstances, we could be subject to significant penalties if we violate HIPAA.</w:t>
      </w:r>
    </w:p>
    <w:p>
      <w:pPr>
        <w:spacing w:after="0" w:line="16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the California Consumer Privacy Act (“CCPA”) applies to personal information of California consumers, business representatives, and employees, and among other things requires regulated businesses to provide specific disclosures in privacy notices and honor requests of California residents to exercise certain privacy rights, including the right to opt out of certain disclosures of their information. The CCPA provides for civil penalties as well as a private right of action with statutory damages for certain data breaches, thereby potentially increasing risks associated with a data breach. In addition, although the CCPA includes limited exceptions, including for certain information collected as part of clinical trials, the CCPA may impact our processing of personal data and our compliance costs depending on how it is interpreted. Similar laws are being considered or have been enacted in several other states, as well as at the federal and local levels. While certain U.S. state privacy laws, like the CCPA, may also exempt some data processed in the context of clinical trials, these developments further complicate compliance efforts, and increase legal risk and compliance costs for us and the third parties with whom we work. In addition to government activity, privacy advocacy groups and technology and other industries are considering various new, additional or different self-regulatory standards that may place additional burdens on us.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There are also various laws, regulations and industry standards in other jurisdictions outside the United States relating to data privacy and security, with which we presently or in the future may need to comply. For example, the EU’s General Data Protection Regulation (“EU GDPR”) and the UK’s equivalent (“UK GDPR”), collectively, GDPR, impose strict requirements for processing personal information (referred to as “personal data” under the GDPR). Notably, under the GDPR, companies may face temporary or definitive bans on data processing and other corrective actions; fines of up to €20 million under the EU GDPR / £17.5 million under the UK GDPR, or, in each case, 4% of the annual global revenue of the noncompliant undertaking, whichever is greater. The GDPR also provides for private litigation related to processing of personal data brought by classes of data subjects or consumer protection organizations authorized at law to represent their interests. Additionally, EU member states may introduce further conditions, including limitations, and make their own laws and regulations further limiting the processing of “special categories of personal data,” including personal data related to health, biometric data used for unique identification purposes and genetic information, which could limit our ability to process such special categories of personal data, and could cause our compliance costs to increase, ultimately adversely affecting our business, financial condition, results of operations and prospects.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Certain of our employees, other personnel and/or vendors use generative artificial intelligence (“AI”) technologies to perform their work, and the disclosure and use of personal information in generative AI technologies is subject to various privacy laws and other privacy obligations. Any errors, flaws or other unintended issues in or associated with AI inputs, outputs or technologies could result in adverse impacts on our business. Governments have passed and are likely to pass additional laws regulating generative AI. Our, or our vendors’, use of this technology could result in additional compliance costs, regulatory investigations and actions, and lawsuits. If we, or our vendors, are unable to use generative AI, it could make our business less efficient in some cases, and result in increased costs or competitive disadvantages.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information from Europe and other jurisdictions to the United States or other countries due to data localization requirements or limitations on cross-border data flows. Europe and other jurisdictions have enacted laws requiring data to be localized or limiting the transfer of personal information to other countries. In particular, the European Economic Area (the “EEA”) and the UK have significantly restricted the transfer of personal information to the United States and other countries whose privacy laws it generally believes are inadequate. Although there are currently various mechanisms that may be used to transfer personal information from the EEA and UK to the United States in compliance with law, such as the EEA standard contractual clauses, the UK’s International Data Transfer Agreement / Addendum, the EU-US Data Privacy Framework, and the UK extension thereto (“Data Privacy Framework”) (which allows for transfers to relevant U.S.-based organizations who self-certify compliance and participate in the Data Privacy Framework), these mechanisms are subject to legal challenges, and there is no assurance that we can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satisfy or rely on these measures to lawfully transfer personal information to the United States.</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Other jurisdictions may adopt or have already adopted similarly stringent data localization and cross-border data transfer laws. If there is no lawful manner for us to transfer personal information from the EEA, the UK or other jurisdictions to the United States, or if the requirements for a legally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Regulators in the United States are also increasingly scrutinizing certain personal information transfers and have enacted certain restrictions on cross-border date transfers. For example,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impacts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that process key-coded clinical trial data and biospecimens.</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to data privacy and security laws, we are also bound by other contractual obligations related to data privacy and security, and our efforts to comply with such obligations may not be successful.</w:t>
      </w:r>
    </w:p>
    <w:p>
      <w:pPr>
        <w:spacing w:after="0" w:line="162"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Each of these laws, rules, regulations and contractual obligations relating to data privacy and security, and any other such changes or new laws, rules, regulations or contractual obligations could impose significant limitations, require changes to our business, or restrict our collection, use, storage or processing of personal information, which may increase our compliance expenses and make our business more costly or less efficient to conduct. In addition, any such changes could compromise our ability to develop an adequate marketing strategy and pursue our growth strategy effectively or even prevent us from providing certain products in jurisdictions in which we currently operate and in which we may operate in the future or incur potential liability in an effort to comply with such legislation, which, in turn, could adversely affect our business, financial condition, results of operations and prospects. Complying with these numerous, complex and often changing regulations is expensive and difficult, and failure to comply with any data privacy or security obligations, whether by us, one of our CROs, CMOs or another third party with whom we work, could adversely affect our business, financial condition, results of operations and prospects, including but not limited to: regulatory investigation costs; material fines and penalties; compensatory, special, punitive and statutory damages; litigation (including class claims); consent orders regarding our data privacy and security practices; requirements that we provide notices, bans on processing personal information (including clinical trial data), orders to destroy or not use personal information, credit monitoring services and/or credit restoration services or other relevant services to impacted individuals in the event of an information security incident impacting personal information; adverse actions against our licenses to do business; reputational damage; and injunctive relief. The implementation of the GDPR has increased our responsibility and liability in relation to sensitive information that we process, including in clinical trials, that is subject to the GDPR, and we may be required to put in place additional mechanisms to comply with the GDPR and other applicable laws and regulations, which could divert management’s attention and increase our cost of doing business. In addition, new regulation or legislative actions regarding data privacy and security (together with applicable industry standards) may increase our costs of doing business. For instance, in Europe, the second Network and Information Security Directive (“NIS2”) aims to improve the resilience and incident response capabilities of entities operating in a number of sectors, including the health sector. Non-compliance with NIS2, as applicable to us, may lead to administrative fines of a maximum of €10 million or up to 2% of the total worldwide turnover of the preceding financial year. In this regard, we expect that there will continue to be new proposed laws, regulations and industry standards relating to privacy, data protection and security in the United States, the EEA, the UK and other jurisdictions, and we cannot determine the impact such future laws, regulations and standards may have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business.</w:t>
      </w:r>
    </w:p>
    <w:p>
      <w:pPr>
        <w:spacing w:after="0" w:line="22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Any actual or perceived failure by us or third parties with whom we work to comply with any federal, state or foreign laws, rules, regulations, industry self-regulatory principles, industry standards or codes of conduct, regulatory guidance, orders to which we (or third parties with whom we work) may be subject or other legal obligations relating to privacy, data protection, data security or consumer protection could adversely affect our reputation, brand and business. We may also be contractually required to indemnify and hold harmless third parties from the costs or consequences of non-compliance with any laws, rules and regulations or other legal obligations relating to privacy or any inadvertent or unauthorized use or disclosure, or other compromise of data that we store or handle as part of operating our business. Any of these events could have a material adverse effect on our reputation, business, or financial condition, including but not limited to: interruptions or stoppages in our business operations (including clinical trials and the development of product candidates); inability to process personal information or to operate in certain jurisdictions; limited ability to develop or commercialize our products; expenditure of time and resources to defend any claim or inquiry; adverse publicity; or substantial changes to our business model or operations.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cannot assure you that our CROs, CMOs or other third-party service providers with access to our or our suppliers’, manufacturers’, trial participants’, employees’ and others’ sensitive information in relation to which we are responsible will not breach contractual obligations imposed by us, or that they will not experience data security incidents, which could have a corresponding effect on our business, including putting us in breach of our obligations including under privacy laws and regulations and/or which could in turn adversely affect our business, financial condition, results of operations and prospects. We cannot assure you that our contractual measures and our own privacy and security-related safeguards will protect us from the risks associated with the third-party processing of such information. Any of the foregoing could adversely affect our business, financial condition, results of operations and prospects.</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also publicly post privacy policies, marketing materials, whitepapers, and other statements concerning data privacy, security, and our collection, use, disclosure and other processing of the personal information provided to us or that we collect. Although we endeavor to comply with our public statements and documentation, we may at times fail to do so or be perceived to have failed to do so. Regulators in the United States and elsewhere are increasingly scrutinizing these statements, and our publication of our privacy policies and other statements we publish that provide promises and assurances about data privacy and security can subject us to potential claims if they are found to be deceptive, unfair, misleading, or misrepresentative of our actual practices. Any actual or perceived failure by us to comply with federal, state or foreign laws, rules or regulations, industry standards, contractual or other legal obligations, or any actual, perceived or suspected cybersecurity incident, whether or not resulting in unauthorized access to, or acquisition, release, transfer or other compromise of personal information or other sensitive information, may result in enforcement actions and prosecutions, private litigation (including class action claims), significant fines, penalties (including bans on processing personal information or orders to destroy or not use personal information) and censure, claims for damages by affected individuals, regulatory inquiries and investigations or adverse publicity and could cause reputational harm, any of which could adversely affect our business, financial condition, results of operations and prospects. The successful assertion of one or more large data privacy or security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conflicts with any current or future licensors, licensees, collaborators or strategic partners that could delay or prevent the development or commercialization of our product candidates.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currently party to the Kaken Collaboration Agreement and the license and collaboration agreement with Pierre Fabre, and we may enter into strategic transactions in the future, and we may have conflicts with our current or future licensors, licensees, collaborators or strategic partners, such as conflicts concerning the interpretation of preclinical or clinical data, the achievement of milestones, the interpretation of contractual obligations, payments for services, development obligations or the ownership of intellectual property developed during our collaboration. If any conflicts arise with our collaborators, such collaborator may act in a manner that is adverse to our best interests. Any such disagreement could result in one or more of the following, each of which could delay or prevent the development or commercialization of our product candidates, and in turn prevent us from generating revenue: disputes regarding milestone payments or royalties; uncertainty regarding ownership of intellectual property rights arising from our collaborative activities, which could prevent us from entering into future additional collaborations; unwillingness by such collaborator to cooperate in the development or manufacture of a product candidate, including providing us with data or materials; unwillingness on the part of a collaborator to keep us informed regarding the progress of its development and commercialization activities or to permit public disclosure of the results of those activities; initiating of litigation or alternative dispute resolution options by either party to resolve the dispute; or attempts by either party to terminate the agreement.</w:t>
      </w:r>
    </w:p>
    <w:p>
      <w:pPr>
        <w:spacing w:after="0" w:line="19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We have relied and expect to continue to rely on third parties to conduct our preclinical studies and clinical trials. If those third parties do not perform as contractually required, fail to satisfy legal or regulatory requirements, miss expected deadlines or terminate the relationship, our development programs could be delayed, more costly or unsuccessful, and we may never be able to seek or obtain regulatory approval for or commercialize our product candidates.</w:t>
      </w:r>
    </w:p>
    <w:p>
      <w:pPr>
        <w:spacing w:after="0" w:line="16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rely and intend to rely in the future on third-party clinical investigators, CROs and clinical data management organizations to conduct, supervise and monitor preclinical studies and clinical trials of our current or future product candidates. Because we currently rely and intend to continue to rely on these third parties, we will have less control over the timing, quality and other aspects of preclinical studies and clinical trials than we would have if we had conducted them independently. These parties are not, and will not be, our employees and we will have limited control over the amount of time and resources that they dedicate to our programs. Additionally, such parties may have contractual relationships with other entities, some of which may be our competitors, which may draw time and resources from our programs.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no experience as a company in submitting and supporting the applications necessary to gain regulatory approvals. Securing regulatory approval requires the submission of extensive preclinical and clinical data and supporting information to regulatory authorities for each indication to establish the product candidate’s safety or efficacy for that indication. Securing regulatory approval also requires the submission of information about the product manufacturing process to, and inspection of manufacturing facilities and clinical trial sites by, applicable regulatory authorities.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Large-scale clinical trials require significant financial and management resources, and reliance on third-party clinical investigators, CROs, partners or consultants. Relying on third-party clinical investigators or CROs may force us to encounter delays and challenges that are outside of our control. We may not be able to demonstrate sufficient comparability between products manufactured at different facilities to allow for inclusion of the clinical results from participants treated with products from these different facilities, in our product registrations. Further, our third-party clinical manufacturers may not be able to manufacture our product candidates or otherwise fulfill their obligations to us because of interruptions to their business, including the loss of their key staff or interruptions to their raw material supply.</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clinical trials is conducted in accordance with the applicable trial protocol and legal, regulatory and scientific standards, and our reliance on the CROs, clinical trial sites, and other third parties does not relieve us of these responsibilities. For example, we will remain responsible for ensuring that each of our preclinical studies are conducted in accordance with good laboratory practices, where applicable, and clinical trials are conducted in accordance with GCPs and applicable rules. Moreover, the FDA and comparable foreign regulatory authorities require us to comply with GCP for conducting, recording and reporting the results of clinical trials to assure that data and reported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results are credible and accurate and that the rights, integrity and confidentiality of trial participants are protected. Regulatory authorities enforce these requirements through periodic inspections (including through inspections that may be conducted once we submit an NDA to the FDA) of trial sponsors, clinical investigators, trial sites and certain third parties including CROs. If we, our CROs, clinical trial sites, or other third parties fail to comply with applicable GCP or other regulatory requirements, we or they may be subject to enforcement or other legal actions, the clinical data generated in our clinical trials may be deemed unreliable and the FDA or comparable foreign regulatory authorities may require us to perform additional clinical trials. We cannot assure you that upon inspection by a given regulatory authority, such regulatory authority will determine that any of our clinical trials comply with GCP regulations. Moreover, our business may be significantly impacted if our CROs, clinical investigators or other third parties violate federal or state healthcare fraud and abuse or false claims laws and regulations or healthcare privacy and security laws, and foreign equivalents.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the event we need to repeat, extend, delay or terminate our clinical trials because these third parties do not successfully carry out their contractual duties, meet expected deadlines or conduct our clinical trials in accordance with regulatory requirements or our stated protocols, our clinical trials may need to be repeated, extended, delayed or terminated and we may not be able to obtain, or may be delayed in obtaining, regulatory approvals for our product candidates, and we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materially and adversely affected.</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future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and/or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and may ultimately lead to the denial of regulatory approval of one or more of our product candidates.</w:t>
      </w:r>
    </w:p>
    <w:p>
      <w:pPr>
        <w:spacing w:after="0" w:line="184"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and suppliers to supply our product candidates. The loss of our third-party manufacturers or suppliers, or their failure to comply with applicable regulatory requirements or to supply sufficient quantities at acceptable quality levels or prices, within acceptable timeframes, or at all, would materially and adversely affect our business.</w:t>
      </w:r>
    </w:p>
    <w:p>
      <w:pPr>
        <w:spacing w:after="0" w:line="180"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We do not own or operate, and currently have no plans to establish, any manufacturing facilities for drug manufacturing, storage, distribution or quality testing. We currently rely, and expect to continue to rely, on third parties for the manufacture of APIs, bulk drug substances, raw materials, samples, components and other materials for our product candidates for clinical testing, as well as for the manufacture of any products candidates that we commercialize, if approved. Reliance on third-party manufacturers may expose us to different risks than if we were to manufacture product candidates ourselves. There can be no assurance that our preclinical and clinical development product supplies will not be limited, interrupted, terminated or will be of satisfactory quality or be available at acceptable prices. In addition, if any biotechnology companies or CMOs become subject to trade restrictions, sanctions, or other regulatory requirements by the U.S. government, such actions could restrict or even prohibit our ability to work with such entities. Such disruption could have</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adverse effects on the development of our product candidates and our business operations. Also, any replacement of our manufacturer could require significant effort and time because there may be a limited number of qualified replacements.</w:t>
      </w:r>
    </w:p>
    <w:p>
      <w:pPr>
        <w:spacing w:after="0" w:line="162"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We obtain our preclinical and clinical supplies from our manufacturers on a purchase order basis, and currently do not have long-term supply arrangements in place. The manufacturing process for our product candidates is subject to the FDA and foreign regulatory authority review. We, and our suppliers and manufacturers, must meet applicable manufacturing requirements and undergo rigorous facility and process validation tests required by regulatory authorities in order to comply with regulatory standards, such as cGMPs. If our CMOs cannot successfully manufacture material that conforms to our specifications and the strict regulatory requirements of the FDA or comparable foreign regulatory authorities, we may not be able to rely on their facilities for the manufacture of elements of our product candidates. Securing regulatory approval also requires the submission of information about the product manufacturing process to, and inspection of manufacturing facilities by, the FDA, and comparable foreign regulatory authorities. If the FDA or any comparable foreign regulatory authority determines that our third-party manufacturers’ facilities are not in compliance with applicable laws and regulations, including those governing cGMPs, they may deny any NDA or marketing application we submit until the deficiencies are corrected or we replace the manufacturer in our application with a manufacturer that is able to demonstrate a compliance status acceptable to the FDA or foreign regulatory authority. Moreover, we are dependent on our CMOs for manufacturing in compliance with cGMPs and other regulatory requirements. In the event that any of our manufacturers fails to comply with such requirements or to perform its obligations in relation to quality, timing or otherwise, or if our projected manufacturing capacity or supply of materials becomes limited, interrupted, or more costly than anticipated, we may be forced to enter into an agreement with another third party, which we may not be able to do timely or on reasonable terms, if at all. In some cases, the technical skills or technology required to manufacture our product candidates may be unique or proprietary to the original manufacturer and we may have difficulty transferring such to another third party. These factors would increase our reliance on such manufacturer or require us to obtain a license from such manufacturer in order to enable us, or to have another third party, manufacture our product candidates. We will be required to verify that the new manufacturer maintains facilities and procedures that comply with applicable quality standards and regulations and guidelines; and we may be required to repeat some of the development program. If we are required to change manufacturers, the delays and costs associated with the verification of a new manufacturer, whether due to failure to comply with regulatory requirements, or quality, timing and supply issues, or other reason, could negatively affect our ability to develop product candidates in a timely manner or within budget.</w:t>
      </w:r>
    </w:p>
    <w:p>
      <w:pPr>
        <w:spacing w:after="0" w:line="20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 xml:space="preserve">As part of our process development efforts, we also may make changes to the manufacturing processes at various points during development, for various reasons, such as controlling costs, achieving scale, decreasing processing time, improving product formulations, increasing manufacturing success rate or other reasons. For example, we are implementing certain manufacturing process changes for envu to increase scalability with respect to our Phase 3 clinical trials. Such changes carry the risk that they will not achieve their intended objectives, and any of these changes could cause our current or future product candidates to perform differently and affect the results of our future clinical trials. In some circumstances, changes in the manufacturing process may require us to perform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comparability studies or clinical bridging studies, and we may be required to collect additional data from participants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any product candidate. To the extent that we enter into future long-term manufacturing arrangements with third parties, we will depend on these third parties to perform their obligations in a timely manner consistent with contractual and regulatory requirements, including those related to quality control and assurance. Any manufacturing facilities used to produce our product candidates will be subject to periodic review and inspection by the FDA and comparable foreign regulatory authorities, including for continued compliance with cGMP requirements, quality control, quality assurance and corresponding maintenance of records and documents.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comply with cGMPs or maintain a compliance status acceptable to the FDA or comparable foreign regulatory authorities could adversely affect our business in a number of ways, including: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preclinical studies or clinical trials of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future collaborators;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sanctions being imposed on us, including shutdown of the third-party vendor or invalidation of drug product lots or processes, fines, injunctions, civil penalties, delays, suspension, variation or withdrawal of approvals, license revocation, seizures of product candidates or drugs, operating restrictions and criminal prosecutions;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our CMOs may experience difficulties due to resource constraints or as a result of labor disputes or unstable political environments. If our CMOs were to encounter any of these difficulties, our ability to provide our product candidates to participants in preclinical and clinical trials, or to provide product for treatment of participants once approved, would be jeopardized.</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limited source suppliers for certain raw materials used in our product candidates. If we are unable to source these supplies on a timely basis or establish redundancy in our manufacturing process or longer-term contracts with our CMOs, we will not be able to complete our clinical trials on time and the development of our product candidates may be delayed.</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Certain of the raw materials necessary to produce envu and A-005 are in limited supply, and we generally rely on one CMO for each manufacturing stage. While we intend to identify and qualify additional suppliers and redundant manufacturers to provide the API, drug product and critical raw material prior to submission of an NDA to the FDA and/or a comparable marketing application outside the United States, there can be no assurance that we will be successful in doing so. Furthermore, any of the limited source suppliers upon whom we rely could stop producing our supplies, cease operations or be acquired by, or enter into exclusive arrangements with, our competitors. Establishing redundancy in CMOs and additional or replacement suppliers for these supplies, and obtaining regulatory authorizations that may result from adding or replacing CMOs and suppliers, could take a substantial amount of time, result in increased costs and impair our ability to produce our products, which would adversely impact our business, financial condition, results of operations and prospects. Any such interruption or delay may force us to seek similar supplies from alternative sources, which may not be available at reasonable prices, or at all. Any interruption in the supply of limited source components for our product candidates would adversely affect our ability to meet scheduled timelines and budget for the development and commercialization of our product candidates, could result in higher expenses and would harm our business. Although we have not experienced any significant disruption as a result of our reliance on limited source suppliers, we have a limited operating history and cannot assure you that we will not experience disruptions in our supply chain in the future as a result of such reliance or otherwise.</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we do not currently have long-term supply contracts with our CMOs, and they are not obligated to supply drug products to us for any period, in any specified quantity or at any certain price beyond the delivery contemplated by the relevant purchase orders. As a result, our suppliers could stop selling to us at commercially reasonable prices, or at all. While we intend to enter into long-term master supply agreements with certain of our CMOs prior to any potential NDA submission, we may not be successful in negotiating such agreements on favorable terms or at all. If we do enter into such long-term master supply agreements, or enter into such agreements on less favorable terms than we currently have with such manufacturers, we could be subject to binding long-term purchase obligations that may be harmful to our business, including in the event that we do not conduct our trials on planned timelines, or at all, or utilize the drug products that we are required to purchase. Any change in our relationships with our CMOs or changes to the contractual terms of our agreements with them could adversely affect our business, financial condition, results of operations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most of which are located outside of the United States, are subject to additional risks that are beyond our control and that could harm our business, financial condition, results of operations and prospects.</w:t>
      </w:r>
    </w:p>
    <w:p>
      <w:pPr>
        <w:spacing w:after="0" w:line="15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Currently, most of our suppliers are located outside of the United States. As a result of our global suppliers, we are subject to risks associated with doing business abroad, including:</w:t>
      </w:r>
    </w:p>
    <w:p>
      <w:pPr>
        <w:spacing w:after="0" w:line="162" w:lineRule="exact"/>
        <w:rPr>
          <w:sz w:val="20"/>
          <w:szCs w:val="20"/>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terrorism, labor disputes, and economic instability resulting in the disruption of trade from foreign countries in which our products are manufactured;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over time, which may substantially increase our costs of doing business abroad where we have payment obligations in local currency;</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or status acceptable to the FDA or comparable foreign regulatory authorities;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trademark protection, in some countries particularly China;</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public health crises or other emergencies or natural disasters, including, for example, disruptions experienced during the COVID-19 pandemic;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harm our business, financial condition, results of operations and prospects.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significant currency exchange risk.</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operate a number of our clinical trials outside of the United States and incur portions of our expenses, and may in the future derive revenues, in a variety of currencies. As a result, we are exposed to currency exchange risk as our results of operations and cash flows are subject to fluctuations in currency exchange rates. Fluctuations in currency exchange rates have had, and will continue to have, an impact on our results as expressed in United States dollars. We currently do not have a formal hedging program with respect to foreign currencies. We cannot predict the impact of foreign currency fluctuations, and foreign currency fluctuations in the future may adversely affect our financial condition, results of operations and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and liquid trading market for our common stock may not develop, and you may not be able to resell your shares of common stock at or above the price you paid for them.</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 active trading market for our common stock may never develop or, if it is developed, be sustained. The market value of our common stock may decrease from the price you paid for them. As a result of these and other factors, including our limited public float, you may be unable to resell your shares of our common stock at or above the price you paid for them.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79" w:lineRule="exact"/>
        <w:rPr>
          <w:sz w:val="20"/>
          <w:szCs w:val="20"/>
          <w:color w:val="auto"/>
        </w:rPr>
      </w:pPr>
    </w:p>
    <w:p>
      <w:pPr>
        <w:jc w:val="both"/>
        <w:ind w:left="60" w:right="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quarterly and annual operating results may fluctuate significantly or may fall below the expectations of investors or securities analysts or any guidance we may publicly provide, each of which may cause our stock price to fluctuate or decline.</w:t>
      </w:r>
    </w:p>
    <w:p>
      <w:pPr>
        <w:spacing w:after="0" w:line="13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annual fluctuations which may, in turn, cause the price of our common stock to fluctuate substantially. Our net loss and other operating results will be affected by numerous factors, including:</w:t>
      </w:r>
    </w:p>
    <w:p>
      <w:pPr>
        <w:spacing w:after="0" w:line="176" w:lineRule="exact"/>
        <w:rPr>
          <w:sz w:val="20"/>
          <w:szCs w:val="20"/>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 related to the ongoing development of our most advanced product candidate envu, A-005 and other development programs;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preclinical studies and ongoing and future clinical trials, or the addition or termination of any such clinical trials;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payments we may make or receive under any current or future license and future collaboration arrangements or the termination or modification thereof;</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strategic transactions, including any future acquisitions, collaborations, licenses or similar arrangements, and the timing and amount of payments we may make or receive in connection with such transactions;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or opposition, interference or cancellation proceeding in which we may become involved;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departures of key personnel;</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 candidates receive regulatory approval, the terms of such approval and market acceptance and demand for such products;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our product candidates or those of our competitors;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stock-based compensation expense;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inflation and rising interest rates on our business and operations;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or any forecasts or guidance we may provide to the market, the price of our common stock could decline substantially. Such a stock price decline could occur even when we have met any previously publicly stated guidance we may provide. We believe that quarterly or annual comparisons of our financial results are not necessarily meaningful and should not be relied upon as an indication of our future performance.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likely to continue to be volatile, which could result in substantial losses for our investors.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is likely to continue to be volatile and could fluctuate widely in response to many factors, including but not limited to: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our ability and anticipated timelines to submit applications for regulatory approvals of envu in PsO;</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or non-approval of envu in PsO, specific label indications for or restrictions, warnings or limitations in its use or delays in the regulatory review process;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instability in the financial and capital markets;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our product candidates, including the results of clinical trials by us or any future collaborators;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that impact our competitive outlook;</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developments with respect to our product candidates, or similar products or product candidates with which we compete;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intellectual property rights;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product candidates, new products or new contracts by us or our competitors;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any future strategic transactions, including acquisitions, collaborations, licenses or similar arrangements;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the perceived benefits of our strategic transactions, including the ACELYRIN Merger, as rapidly or to the extent anticipated by financial analysts or investors;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due to the level of development expenses and other factors;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equities research analysts and whether our earnings (or losses) meet or exceed such estimates;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and receipt, or lack of receipt, of funding in support of conducting our business;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other stockholders, or issuances by us of shares of our common stock in connection with strategic transactions;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pharmaceutical, biotechnology and other industries;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within, and outside of, the United States, including changes in the structure of health care payment systems;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or other pandemics, natural disasters, or major catastrophic events;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and other factors;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of the risks described in this section titled “Risk Factors.”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could cause our stock price to fall.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including conducting our planned clinical trials, manufacturing and commercialization efforts, expanded research and development activities and costs associated with operating as a public company.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common stock and will be able to control matters subject to stockholder approval.</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Based on the beneficial ownership of our capital stock as of March 31, 2026, our executive officers, directors, holders of 5% or more of our capital stock and their respective affiliates beneficially owned approximately 34% of our outstanding voting stock.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 In addition, as a result of this concentration of ownership, there is a limited number of shares of our common stock that are not held by officers, directors and controlling stockholders (which is referred to as our public float), thereby adversely impacting the liquidity of our common stock and potentially depressing the price at which you may be able to sell shares of common stock.</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the reduced reporting requirements applicable to emerging growth companies and smaller reporting companies may make our common stock less attractive to investors.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of 1933, as amended (the “Securities Act”), as modified by the JOBS Act. For as long as we continue to be an emerging growth company, we may take advantage of exemptions from various reporting requirements that are applicable to the other public companies that are not “emerging growth companies,” including (i) not being required to comply with the auditor attestation requirements of Section 404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 We may choose to take advantage of some, but not all, of the available exemptions. We have taken advantage of reduced reporting obligations in this report. In addition, the JOBS Act provides that an emerging growth company can take advantage of an extended transition period for complying with new or revised accounting standards. These provisions allow an emerging growth company to delay the adoption of these accounting standards until they would otherwise apply to private companies. We have elected to take advantage of such extended transition period. We cannot predict whether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investors will find our common stock less attractive as a result of its reliance on these exemptions. If some investors find our common stock to be less attractive as a result, there may be a less active trading market for our common stock and the price of our common stock may be more volatile than the current trading market and price of our common stock.</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 there is no guarantee that the exemptions available under the JOBS Act will result in significant savings. To the extent that we choose not to use exemptions from various reporting requirements under the JOBS Act, we will incur additional compliance costs, which may impact our financial condition.</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end of the fiscal year in which we have a total annual gross revenue of $1.235 billion; (ii) the last day of our fiscal year following the fifth anniversary of the completion of our IPO; (iii) the date on which we have, during the previous three-year period, issued more than $1.0 billion in non-convertible debt; or (iv) the end of the fiscal year in which the market value of common stock held by non-affiliates exceeds $700 million as of the prior June 30.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addition, as a smaller reporting company with less than $100 million in annual revenue, we are not required to comply with the auditor attestation requirements of Section 404 of the Sarbanes-Oxley Act.</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prevent or delay an acquisition of us that may be beneficial to our stockholders and may prevent attempts by our stockholders to replace or remove our current management.</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180"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some provisions in our amended and restated certificate of incorporation and amended and restated bylaws;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that is governed by the internal affairs doctrine. This exclusive forum provision does not apply to suits brought to enforce a duty or liability created by the Exchange Act.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results of operations and prospects.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claims brought to enforce any duty or liability created by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our exclusive forum provisions in our amended and restated certificate of incorporation,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is authorized to issue and designate shares of our preferred stock without stockholder approval.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shares of preferred stock, subject to limitations prescribed by applicable law, rules and regulations and the provisions of our amended and restated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reduce our common stock’s value.</w:t>
      </w:r>
    </w:p>
    <w:p>
      <w:pPr>
        <w:spacing w:after="0" w:line="22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dividends on our capital stock in the foreseeable future, capital appreciation, if any, will be your sole source of gain.</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declared nor paid dividends on our capital stock. We currently intend to retain all of our future earnings, if any, to finance the growth and development, operation and expansion of our business and we do not anticipate declaring or paying any dividends in the foreseeable future. As a result, capital appreciation of our common stock, which may never occur, will be your sole source of gain on your investment for the foreseeable future.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ownership and other limitations provided for in our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Additionally, stockholders who hold, in the aggregate, more than 10% of our common stock and non-voting common stock, but 10% or less of our common stock, and are not otherwise an insider, may not be required to report changes in their ownership due to transactions in our non-voting common stock pursuant to Section 16(a) of the Exchange Act, and may not be subject to the short-swing profit provisions of Section 16(b) of the Exchange Act.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economic and market conditions may have serious adverse consequences on our business, financial condition and stock price.</w:t>
      </w:r>
    </w:p>
    <w:p>
      <w:pPr>
        <w:spacing w:after="0" w:line="15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uncertainties, and global credit and financial markets have experienced extreme volatility and disruptions in the past several years, including severely diminished liquidity and credit availability, rising inflation and monetary supply shifts, rising interest rates, labor shortages, declines in consumer confidence, declines in economic growth, increases in unemployment rates, recession risks and uncertainty about economic and geopolitical stability (for example, related to the evolving U.S. and ex-U.S. tariff landscape). Further, the United States and other countries have imposed and may continue to impose new trade restrictions and export regulations, have levied tariffs and taxes on certain goods, and could continue to significantly increase tariffs on a broad array of goods. For example, in April 2025, the U.S. government imposed a 10% baseline global tariff and in August 2025, the United States imposed higher “reciprocal” tariffs on numerous other territories, including EU member states and South Korea. While the U.S. Supreme Court recently issued a ruling invalidating tariffs imposed by the Trump administration under the International Emergency Economic Powers Act, other tariffs imposed by the U.S. government remain in place, including the 10% global tariff imposed by the Trump administration under Section 122 of the Trade Act of 1974 following the U.S. Supreme Court decision. Moreover, in 2025, the Bureau of Industry and Security, U.S. Department of Commerce, initiated an investigation under Section 232 of the Trade Expansion Act of 1962 to determine whether pharmaceutical ingredients, including finished drug product, manufactured outside the United States pose a national security risk and should be subject to additional tariffs. Based on this investigation, on April 2, 2026, the President issued a proclamation imposing up to a 100% tariff on certain patented pharmaceuticals and associated pharmaceutical ingredients. Given the volatility and uncertainty regarding the scope and duration of tariffs and other aspects of U.S. and foreign government trade policies, the ultimate impact on our operations and financial results remains uncertain. Likewise, our financial condition and results of operations may continue to be affected by global volatility and general market disruption resulting from geopolitical tensions, such as the ongoing Russia-Ukraine military conflict and the ongoing military conflict involving the U.S., Israel and Iran. In particular, the continued escalation of hostilities in the Middle East, including involving Iran, could further disrupt global energy markets, fuel prices, transportation networks, and supply chains, which may disrupt or otherwise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negatively impact our supply chain and increase our costs. The extent of the impact of these conditions on our operational and financial performance, including our ability to execute our business strategies and initiatives in the expected timeframe, as well as that of third parties upon whom we rely, will depend on future developments which are uncertain and cannot be predicted. There can be no assurance that further deterioration in economic or market conditions will not occur, or how long these challenges will persist. If the current equity and credit markets further deteriorate, or do not improve, it may make any necessary debt or equity financing more difficult, more costly and more dilutive. Furthermore, our stock price may decline due in part to the volatility of the stock market and the general economic downturn.</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inaccurate or unfavorable research about our business, our stock price and trading volume could decline.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industry or securities analysts publish about us or our business. We do not have any control over the industry or securities analysts, or the content and opinions included in their reports and may never obtain research coverage by securities and industry analysts. If no or few securities or industry analysts commence coverage of us, or if analysts cease coverage of us, we could lose visibility in the financial markets, and the trading price for our common stock could be impacted negatively. If any of the analysts who cover us publish inaccurate or unfavorable research or opinions regarding us, our business model, our intellectual property or our stock performance, or if our preclinical studies and clinical trials and operating results fail to meet the expectations of analysts, our stock price would likely decline.</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The Securities Act, the Exchange Act,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continue to need to devote a substantial amount of time to these compliance initiatives. Moreover, we expect these rules and regulations to substantially increase our legal and financial compliance costs and to make some activities more time-consuming and costly, particularly after we are no longer an emerging growth company.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9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could adversely affect our business and if investors lose confidence in the accuracy and completeness of our financial reports, the market price of our common stock could be negatively affected.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not currently required to comply with the rules of the SEC implementing Section 404(b) of the Sarbanes-Oxley Act, which requires including an attestation report on internal control over financial reporting issued by our independent registered public accounting firm. However, we are required to comply with the SEC’s rules implementing Sections 302 and 404(a) of the Sarbanes-Oxley Act, which require our management to certify financial and other information in our quarterly and annual reports and provide an annual management report on the effectiveness of internal control over financial reporting. Although we will be required to disclose changes made in our internal control over financial reporting on a quarterly basis, we will not be required to make our first annual assessment of our internal control over financial reporting until our second annual report on Form 10-K. Furthermore, as an emerging growth company, our independent registered public accounting firm will not be required to attest to the effectiveness of our internal control over financial reporting until the later of the year following our first annual report required to be filed with the SEC or the date we are no longer an emerging growth company. At such time, our independent registered public accounting firm would need to issue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report that is adverse in the event that there are material weaknesses in our internal control over financial reporting.</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7"/>
          <w:szCs w:val="17"/>
          <w:color w:val="auto"/>
        </w:rPr>
        <w:t>To comply with the requirements of being a public company, we have undertaken various actions, and will need to take additional actions, such as implementing numerous internal controls and procedures and hiring additional accounting or internal audit staff or consultants. Testing and maintaining internal controls can divert our management’s attention from other matters that are important to the operation of our business. Additionally, when evaluating our internal control over financial reporting, we may identify material weaknesses that we may not be able to remediate in time to meet the applicable deadline imposed upon us for compliance with the requirements of Section 404(b). If we identify any material weaknesses in our internal control over financial reporting or are unable to comply with the requirements of Section 404(b) in a timely manner or assert that our internal control over financial reporting is effective, or if our independent registered public accounting firm is unable to express an opinion as to the effectiveness of our internal control over financial reporting once we are no longer an emerging growth company, investors may lose confidence in the accuracy and completeness of our financial reports and the market price of our common stock could be negatively affected, and we could become subject to investigations by the stock exchange on which our securities are listed, the SEC or other comparable foreign regulatory authorities, which could require additional financial and management resources. In addition, if we fail to remedy any material weakness, our financial statements could be inaccurate, and we could face restricted access to capital markets.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Any disclosure controls and procedures, no matter how well-conceived and operated, can provide only reasonable, not absolute, assurance that the objectives of the control system are met.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ACELYRIN has been named a defendant in a purported securities class action lawsuit, and we may be the target of other securities litigation in the future. This could result in substantial damages or other expenses and could divert management’s time and attention from our business.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connection with the ACELYRIN Merger, we assumed the liabilities of ACELYRIN, which include a purported federal securities class action lawsuit which was commenced against ACELYRIN in the United States District Court for the Central District of California (the “Court”) on November 15, 2023. On February 15, 2024, the Court appointed joint lead plaintiffs and lead counsel. An amended complaint was filed on March 26, 2024, naming ACELYRIN and current and former officers and directors as defendants. The complaint alleges that the defendants violated the Exchange Act and Securities Act in disclosures regarding the primary endpoint of HiSCR75 at week 16 not meeting statistical significance in ACELYRIN’s Phase 2b trial of izokibep in hidradenitis suppurativa. The amended complaint seeks damages and an award of reasonable costs and expenses, as well as such other and further relief as the court may deem just and proper. On May 3, 2024, the defendants filed their motion to dismiss the amended complaint, which was granted by the court, with leave to amend, in January 2026. On February 5, 2026, the plaintiffs filed a second amended complaint which seeks damages and an award of reasonable costs and expenses, as well as such other and further relief as the court may deem just and proper. On February 19, 2026, the defendants filed their motion to dismiss the second amended complaint, which remains pending. This lawsuit is subject to inherent uncertainties, including its outcome. We could be forced to expend significant resources and incur substantial legal fees and costs in the defense of this suit, and we may not prevail. We have not established any reserve for any potential liability relating to this lawsuit. It is possible that we could, in the future, incur judgments or enter into settlements of claims for monetary damages. In addition, we may be the target of other securities litigation in the future. Securities litigation (including the cost to defend against, and any potential adverse outcome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resulting from any such proceeding) can be expensive and time-consuming, damage our reputation and divert our management’s attention from other business concerns, which could seriously harm our business.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7880" w:type="dxa"/>
            <w:vAlign w:val="bottom"/>
            <w:gridSpan w:val="9"/>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3"/>
        </w:trPr>
        <w:tc>
          <w:tcPr>
            <w:tcW w:w="8900" w:type="dxa"/>
            <w:vAlign w:val="bottom"/>
            <w:gridSpan w:val="10"/>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 ​ Description</w:t>
            </w:r>
          </w:p>
        </w:tc>
      </w:tr>
      <w:tr>
        <w:trPr>
          <w:trHeight w:val="250"/>
        </w:trPr>
        <w:tc>
          <w:tcPr>
            <w:tcW w:w="1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720" w:type="dxa"/>
            <w:vAlign w:val="bottom"/>
            <w:tcBorders>
              <w:top w:val="single" w:sz="8" w:color="auto"/>
              <w:bottom w:val="single" w:sz="8" w:color="0000EE"/>
            </w:tcBorders>
            <w:gridSpan w:val="7"/>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Agreement and Plan of Merger, by and among the Registrant, ACELYRIN, Inc. and Arrow Merger Sub,</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 dated as of February 6, 2025 (incorporated by reference to Exhibit 2.1 to the Registrant’s Current</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Report on Form 8-K, filed with the SEC on February 6, 2025).</w:t>
              </w:r>
            </w:hyperlink>
          </w:p>
        </w:tc>
        <w:tc>
          <w:tcPr>
            <w:tcW w:w="3220" w:type="dxa"/>
            <w:vAlign w:val="bottom"/>
            <w:gridSpan w:val="4"/>
          </w:tcPr>
          <w:p>
            <w:pPr>
              <w:spacing w:after="0"/>
              <w:rPr>
                <w:sz w:val="17"/>
                <w:szCs w:val="17"/>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Amendment to the Agreement and Plan of Merger, dated as of April 20, 2025 (incorporated by reference to</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Exhibit 2.1 to the Registrant’s Current Report on Form 8-K, filed with the SEC on April 21, 2025).</w:t>
              </w:r>
            </w:hyperlink>
          </w:p>
        </w:tc>
        <w:tc>
          <w:tcPr>
            <w:tcW w:w="600" w:type="dxa"/>
            <w:vAlign w:val="bottom"/>
          </w:tcPr>
          <w:p>
            <w:pPr>
              <w:spacing w:after="0"/>
              <w:rPr>
                <w:sz w:val="17"/>
                <w:szCs w:val="17"/>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Amended and Restated Certificate of Incorporation of the Registrant (incorporated by reference to Exhibit</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7"/>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 on July 1, 2024).</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7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Amended and Restated Bylaws of the Registrant (incorporated by reference to Exhibit 3.2 to the</w:t>
              </w:r>
            </w:hyperlink>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Registrant’s Current Report on Form 8-K, filed with the SEC on July 1, 2024).</w:t>
              </w:r>
            </w:hyperlink>
          </w:p>
        </w:tc>
        <w:tc>
          <w:tcPr>
            <w:tcW w:w="2080" w:type="dxa"/>
            <w:vAlign w:val="bottom"/>
            <w:gridSpan w:val="3"/>
          </w:tcPr>
          <w:p>
            <w:pPr>
              <w:spacing w:after="0"/>
              <w:rPr>
                <w:sz w:val="17"/>
                <w:szCs w:val="17"/>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amended, as adopted pursuant to Section 302 of the Sarbanes-Oxley Act of</w:t>
            </w:r>
          </w:p>
        </w:tc>
      </w:tr>
      <w:tr>
        <w:trPr>
          <w:trHeight w:val="196"/>
        </w:trPr>
        <w:tc>
          <w:tcPr>
            <w:tcW w:w="1020" w:type="dxa"/>
            <w:vAlign w:val="bottom"/>
          </w:tcPr>
          <w:p>
            <w:pPr>
              <w:spacing w:after="0"/>
              <w:rPr>
                <w:sz w:val="17"/>
                <w:szCs w:val="17"/>
                <w:color w:val="auto"/>
              </w:rPr>
            </w:pPr>
          </w:p>
        </w:tc>
        <w:tc>
          <w:tcPr>
            <w:tcW w:w="3560" w:type="dxa"/>
            <w:vAlign w:val="bottom"/>
            <w:gridSpan w:val="4"/>
          </w:tcPr>
          <w:p>
            <w:pPr>
              <w:ind w:left="140"/>
              <w:spacing w:after="0" w:line="196" w:lineRule="exact"/>
              <w:rPr>
                <w:sz w:val="20"/>
                <w:szCs w:val="20"/>
                <w:color w:val="auto"/>
              </w:rPr>
            </w:pPr>
            <w:r>
              <w:rPr>
                <w:rFonts w:ascii="Times New Roman" w:cs="Times New Roman" w:eastAsia="Times New Roman" w:hAnsi="Times New Roman"/>
                <w:sz w:val="18"/>
                <w:szCs w:val="18"/>
                <w:color w:val="0000EE"/>
              </w:rPr>
              <w:t>2002</w:t>
            </w:r>
            <w:r>
              <w:rPr>
                <w:rFonts w:ascii="Times New Roman" w:cs="Times New Roman" w:eastAsia="Times New Roman" w:hAnsi="Times New Roman"/>
                <w:sz w:val="18"/>
                <w:szCs w:val="18"/>
                <w:color w:val="000000"/>
              </w:rPr>
              <w:t>.</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as amended, as adopted pursuant to Section 302 of the Sarbanes-Oxley Act of</w:t>
            </w:r>
          </w:p>
        </w:tc>
      </w:tr>
      <w:tr>
        <w:trPr>
          <w:trHeight w:val="196"/>
        </w:trPr>
        <w:tc>
          <w:tcPr>
            <w:tcW w:w="1020" w:type="dxa"/>
            <w:vAlign w:val="bottom"/>
          </w:tcPr>
          <w:p>
            <w:pPr>
              <w:spacing w:after="0"/>
              <w:rPr>
                <w:sz w:val="17"/>
                <w:szCs w:val="17"/>
                <w:color w:val="auto"/>
              </w:rPr>
            </w:pPr>
          </w:p>
        </w:tc>
        <w:tc>
          <w:tcPr>
            <w:tcW w:w="3560" w:type="dxa"/>
            <w:vAlign w:val="bottom"/>
            <w:gridSpan w:val="4"/>
          </w:tcPr>
          <w:p>
            <w:pPr>
              <w:ind w:left="140"/>
              <w:spacing w:after="0" w:line="196" w:lineRule="exact"/>
              <w:rPr>
                <w:sz w:val="20"/>
                <w:szCs w:val="20"/>
                <w:color w:val="auto"/>
              </w:rPr>
            </w:pPr>
            <w:r>
              <w:rPr>
                <w:rFonts w:ascii="Times New Roman" w:cs="Times New Roman" w:eastAsia="Times New Roman" w:hAnsi="Times New Roman"/>
                <w:sz w:val="18"/>
                <w:szCs w:val="18"/>
                <w:color w:val="0000EE"/>
              </w:rPr>
              <w:t>2002</w:t>
            </w:r>
            <w:r>
              <w:rPr>
                <w:rFonts w:ascii="Times New Roman" w:cs="Times New Roman" w:eastAsia="Times New Roman" w:hAnsi="Times New Roman"/>
                <w:sz w:val="18"/>
                <w:szCs w:val="18"/>
                <w:color w:val="000000"/>
              </w:rPr>
              <w:t>.</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r>
      <w:tr>
        <w:trPr>
          <w:trHeight w:val="27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w:t>
            </w: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r>
              <w:rPr>
                <w:rFonts w:ascii="Times New Roman" w:cs="Times New Roman" w:eastAsia="Times New Roman" w:hAnsi="Times New Roman"/>
                <w:sz w:val="18"/>
                <w:szCs w:val="18"/>
                <w:color w:val="000000"/>
              </w:rPr>
              <w:t>.</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r>
      <w:tr>
        <w:trPr>
          <w:trHeight w:val="29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9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9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9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9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97"/>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7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w:t>
            </w:r>
          </w:p>
        </w:tc>
      </w:t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information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64" w:lineRule="exact"/>
        <w:rPr>
          <w:sz w:val="20"/>
          <w:szCs w:val="20"/>
          <w:color w:val="auto"/>
        </w:rPr>
      </w:pPr>
    </w:p>
    <w:p>
      <w:pPr>
        <w:ind w:left="380" w:hanging="330"/>
        <w:spacing w:after="0"/>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both"/>
        <w:ind w:left="380" w:right="7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accompanies the Quarterly Report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3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ALUMIS INC.</w:t>
      </w:r>
    </w:p>
    <w:p>
      <w:pPr>
        <w:spacing w:after="0" w:line="283" w:lineRule="exact"/>
        <w:rPr>
          <w:sz w:val="20"/>
          <w:szCs w:val="20"/>
          <w:color w:val="auto"/>
        </w:rPr>
      </w:pPr>
    </w:p>
    <w:p>
      <w:pPr>
        <w:ind w:left="4460"/>
        <w:spacing w:after="0"/>
        <w:tabs>
          <w:tab w:leader="none" w:pos="5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Martin Babler</w:t>
      </w:r>
    </w:p>
    <w:p>
      <w:pPr>
        <w:spacing w:after="0" w:line="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Martin Babler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-119380</wp:posOffset>
            </wp:positionV>
            <wp:extent cx="24942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4" w:lineRule="exact"/>
        <w:rPr>
          <w:sz w:val="20"/>
          <w:szCs w:val="20"/>
          <w:color w:val="auto"/>
        </w:rPr>
      </w:pPr>
    </w:p>
    <w:p>
      <w:pPr>
        <w:ind w:left="4460"/>
        <w:spacing w:after="0"/>
        <w:tabs>
          <w:tab w:leader="none" w:pos="5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4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52" w:lineRule="exact"/>
        <w:rPr>
          <w:sz w:val="20"/>
          <w:szCs w:val="20"/>
          <w:color w:val="auto"/>
        </w:rPr>
      </w:pPr>
    </w:p>
    <w:p>
      <w:pPr>
        <w:ind w:left="4460"/>
        <w:spacing w:after="0"/>
        <w:tabs>
          <w:tab w:leader="none" w:pos="5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Schroer</w:t>
      </w:r>
    </w:p>
    <w:p>
      <w:pPr>
        <w:spacing w:after="0" w:line="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Name: John Schroer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-119380</wp:posOffset>
            </wp:positionV>
            <wp:extent cx="24942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4" w:lineRule="exact"/>
        <w:rPr>
          <w:sz w:val="20"/>
          <w:szCs w:val="20"/>
          <w:color w:val="auto"/>
        </w:rPr>
      </w:pPr>
    </w:p>
    <w:p>
      <w:pPr>
        <w:ind w:left="4460"/>
        <w:spacing w:after="0"/>
        <w:tabs>
          <w:tab w:leader="none" w:pos="50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4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Martin Babler, certify that:</w:t>
      </w:r>
    </w:p>
    <w:p>
      <w:pPr>
        <w:spacing w:after="0" w:line="225" w:lineRule="exact"/>
        <w:rPr>
          <w:sz w:val="20"/>
          <w:szCs w:val="20"/>
          <w:color w:val="auto"/>
        </w:rPr>
      </w:pPr>
    </w:p>
    <w:p>
      <w:pPr>
        <w:ind w:left="700" w:hanging="326"/>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Alumis Inc.;</w:t>
      </w:r>
    </w:p>
    <w:p>
      <w:pPr>
        <w:spacing w:after="0" w:line="22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1440" w:right="79" w:hanging="377"/>
        <w:spacing w:after="0" w:line="261" w:lineRule="auto"/>
        <w:tabs>
          <w:tab w:leader="none" w:pos="14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40" w:right="79" w:hanging="377"/>
        <w:spacing w:after="0" w:line="261" w:lineRule="auto"/>
        <w:tabs>
          <w:tab w:leader="none" w:pos="14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40" w:right="79" w:hanging="377"/>
        <w:spacing w:after="0" w:line="266" w:lineRule="auto"/>
        <w:tabs>
          <w:tab w:leader="none" w:pos="14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40" w:right="79" w:hanging="377"/>
        <w:spacing w:after="0" w:line="261" w:lineRule="auto"/>
        <w:tabs>
          <w:tab w:leader="none" w:pos="14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560" w:right="79" w:hanging="497"/>
        <w:spacing w:after="0" w:line="266" w:lineRule="auto"/>
        <w:tabs>
          <w:tab w:leader="none" w:pos="15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79" w:hanging="497"/>
        <w:spacing w:after="0" w:line="282" w:lineRule="auto"/>
        <w:tabs>
          <w:tab w:leader="none" w:pos="156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14, 2026</w:t>
            </w:r>
          </w:p>
        </w:tc>
        <w:tc>
          <w:tcPr>
            <w:tcW w:w="58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By:/s/ Martin Babler</w:t>
            </w:r>
          </w:p>
        </w:tc>
      </w:tr>
      <w:tr>
        <w:trPr>
          <w:trHeight w:val="191"/>
        </w:trPr>
        <w:tc>
          <w:tcPr>
            <w:tcW w:w="3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Martin Babler</w:t>
            </w:r>
          </w:p>
        </w:tc>
      </w:tr>
      <w:tr>
        <w:trPr>
          <w:trHeight w:val="214"/>
        </w:trPr>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6"/>
        </w:trPr>
        <w:tc>
          <w:tcPr>
            <w:tcW w:w="3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993"/>
        </w:trPr>
        <w:tc>
          <w:tcPr>
            <w:tcW w:w="3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19" w:name="page120"/>
    <w:bookmarkEnd w:id="119"/>
    <w:p>
      <w:pPr>
        <w:ind w:left="802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Schroer, certify that:</w:t>
      </w:r>
    </w:p>
    <w:p>
      <w:pPr>
        <w:spacing w:after="0" w:line="225" w:lineRule="exact"/>
        <w:rPr>
          <w:sz w:val="20"/>
          <w:szCs w:val="20"/>
          <w:color w:val="auto"/>
        </w:rPr>
      </w:pPr>
    </w:p>
    <w:p>
      <w:pPr>
        <w:ind w:left="700" w:hanging="326"/>
        <w:spacing w:after="0"/>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Alumis Inc.;</w:t>
      </w:r>
    </w:p>
    <w:p>
      <w:pPr>
        <w:spacing w:after="0" w:line="22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79" w:hanging="326"/>
        <w:spacing w:after="0" w:line="282"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jc w:val="both"/>
        <w:ind w:left="1460" w:right="79" w:hanging="330"/>
        <w:spacing w:after="0" w:line="261" w:lineRule="auto"/>
        <w:tabs>
          <w:tab w:leader="none" w:pos="1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79" w:hanging="330"/>
        <w:spacing w:after="0" w:line="261" w:lineRule="auto"/>
        <w:tabs>
          <w:tab w:leader="none" w:pos="1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79" w:hanging="330"/>
        <w:spacing w:after="0" w:line="266" w:lineRule="auto"/>
        <w:tabs>
          <w:tab w:leader="none" w:pos="1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60" w:right="79" w:hanging="330"/>
        <w:spacing w:after="0" w:line="261" w:lineRule="auto"/>
        <w:tabs>
          <w:tab w:leader="none" w:pos="1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79" w:hanging="326"/>
        <w:spacing w:after="0" w:line="266" w:lineRule="auto"/>
        <w:tabs>
          <w:tab w:leader="none" w:pos="7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460" w:right="79" w:hanging="330"/>
        <w:spacing w:after="0" w:line="266" w:lineRule="auto"/>
        <w:tabs>
          <w:tab w:leader="none" w:pos="1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 w:hanging="330"/>
        <w:spacing w:after="0" w:line="282" w:lineRule="auto"/>
        <w:tabs>
          <w:tab w:leader="none" w:pos="14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14, 2026</w:t>
            </w:r>
          </w:p>
        </w:tc>
        <w:tc>
          <w:tcPr>
            <w:tcW w:w="58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By:/s/ John Schroer</w:t>
            </w:r>
          </w:p>
        </w:tc>
      </w:tr>
      <w:tr>
        <w:trPr>
          <w:trHeight w:val="191"/>
        </w:trPr>
        <w:tc>
          <w:tcPr>
            <w:tcW w:w="3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John Schroer</w:t>
            </w:r>
          </w:p>
        </w:tc>
      </w:tr>
      <w:tr>
        <w:trPr>
          <w:trHeight w:val="214"/>
        </w:trPr>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6"/>
        </w:trPr>
        <w:tc>
          <w:tcPr>
            <w:tcW w:w="3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993"/>
        </w:trPr>
        <w:tc>
          <w:tcPr>
            <w:tcW w:w="3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20" w:name="page121"/>
    <w:bookmarkEnd w:id="120"/>
    <w:p>
      <w:pPr>
        <w:ind w:left="802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Martin Babler, Chief Executive Officer of Alumis Inc. (the “Company”), hereby certifies that, to the best of his knowledge:</w:t>
      </w:r>
    </w:p>
    <w:p>
      <w:pPr>
        <w:spacing w:after="0" w:line="176" w:lineRule="exact"/>
        <w:rPr>
          <w:sz w:val="20"/>
          <w:szCs w:val="20"/>
          <w:color w:val="auto"/>
        </w:rPr>
      </w:pPr>
    </w:p>
    <w:p>
      <w:pPr>
        <w:jc w:val="both"/>
        <w:ind w:left="1440" w:right="79" w:hanging="377"/>
        <w:spacing w:after="0" w:line="266" w:lineRule="auto"/>
        <w:tabs>
          <w:tab w:leader="none" w:pos="1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1440" w:right="79" w:hanging="377"/>
        <w:spacing w:after="0" w:line="282" w:lineRule="auto"/>
        <w:tabs>
          <w:tab w:leader="none" w:pos="1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Martin Babler</w:t>
            </w:r>
          </w:p>
        </w:tc>
      </w:tr>
      <w:tr>
        <w:trPr>
          <w:trHeight w:val="191"/>
        </w:trPr>
        <w:tc>
          <w:tcPr>
            <w:tcW w:w="2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Martin Babler</w:t>
            </w:r>
          </w:p>
        </w:tc>
      </w:tr>
      <w:tr>
        <w:trPr>
          <w:trHeight w:val="214"/>
        </w:trPr>
        <w:tc>
          <w:tcPr>
            <w:tcW w:w="2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6"/>
        </w:trPr>
        <w:tc>
          <w:tcPr>
            <w:tcW w:w="2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i w:val="1"/>
          <w:iCs w:val="1"/>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1" w:name="page122"/>
    <w:bookmarkEnd w:id="121"/>
    <w:p>
      <w:pPr>
        <w:ind w:left="802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John Schroer, Chief Financial Officer of Alumis Inc. (the “Company”), hereby certifies that, to the best of his knowledge:</w:t>
      </w:r>
    </w:p>
    <w:p>
      <w:pPr>
        <w:spacing w:after="0" w:line="176" w:lineRule="exact"/>
        <w:rPr>
          <w:sz w:val="20"/>
          <w:szCs w:val="20"/>
          <w:color w:val="auto"/>
        </w:rPr>
      </w:pPr>
    </w:p>
    <w:p>
      <w:pPr>
        <w:ind w:left="1440" w:right="119" w:hanging="377"/>
        <w:spacing w:after="0" w:line="266" w:lineRule="auto"/>
        <w:tabs>
          <w:tab w:leader="none" w:pos="1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32.2 (the “Periodic Report”) fully complies with the requirements of Section 13(a) or Section 15(d) of the Exchange Act; and</w:t>
      </w:r>
    </w:p>
    <w:p>
      <w:pPr>
        <w:spacing w:after="0" w:line="175" w:lineRule="exact"/>
        <w:rPr>
          <w:rFonts w:ascii="Times New Roman" w:cs="Times New Roman" w:eastAsia="Times New Roman" w:hAnsi="Times New Roman"/>
          <w:sz w:val="18"/>
          <w:szCs w:val="18"/>
          <w:color w:val="auto"/>
        </w:rPr>
      </w:pPr>
    </w:p>
    <w:p>
      <w:pPr>
        <w:ind w:left="1440" w:right="259" w:hanging="377"/>
        <w:spacing w:after="0" w:line="282" w:lineRule="auto"/>
        <w:tabs>
          <w:tab w:leader="none" w:pos="1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592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By:/s/ John Schroer</w:t>
            </w:r>
          </w:p>
        </w:tc>
      </w:tr>
      <w:tr>
        <w:trPr>
          <w:trHeight w:val="191"/>
        </w:trPr>
        <w:tc>
          <w:tcPr>
            <w:tcW w:w="2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John Schroer</w:t>
            </w:r>
          </w:p>
        </w:tc>
      </w:tr>
      <w:tr>
        <w:trPr>
          <w:trHeight w:val="214"/>
        </w:trPr>
        <w:tc>
          <w:tcPr>
            <w:tcW w:w="2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6"/>
        </w:trPr>
        <w:tc>
          <w:tcPr>
            <w:tcW w:w="29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2"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i w:val="1"/>
          <w:iCs w:val="1"/>
          <w:color w:val="auto"/>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468630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1."/>
      <w:numFmt w:val="decimal"/>
      <w:start w:val="3"/>
    </w:lvl>
  </w:abstractNum>
  <w:abstractNum w:abstractNumId="7">
    <w:nsid w:val="737B8DDC"/>
    <w:multiLevelType w:val="hybridMultilevel"/>
    <w:lvl w:ilvl="0">
      <w:lvlJc w:val="left"/>
      <w:lvlText w:val="%1."/>
      <w:numFmt w:val="decimal"/>
      <w:start w:val="4"/>
    </w:lvl>
  </w:abstractNum>
  <w:abstractNum w:abstractNumId="8">
    <w:nsid w:val="6CEAF087"/>
    <w:multiLevelType w:val="hybridMultilevel"/>
    <w:lvl w:ilvl="0">
      <w:lvlJc w:val="left"/>
      <w:lvlText w:val="%1."/>
      <w:numFmt w:val="decimal"/>
      <w:start w:val="5"/>
    </w:lvl>
  </w:abstractNum>
  <w:abstractNum w:abstractNumId="9">
    <w:nsid w:val="22221A70"/>
    <w:multiLevelType w:val="hybridMultilevel"/>
    <w:lvl w:ilvl="0">
      <w:lvlJc w:val="left"/>
      <w:lvlText w:val="%1."/>
      <w:numFmt w:val="decimal"/>
      <w:start w:val="6"/>
    </w:lvl>
  </w:abstractNum>
  <w:abstractNum w:abstractNumId="10">
    <w:nsid w:val="4516DDE9"/>
    <w:multiLevelType w:val="hybridMultilevel"/>
    <w:lvl w:ilvl="0">
      <w:lvlJc w:val="left"/>
      <w:lvlText w:val="%1."/>
      <w:numFmt w:val="decimal"/>
      <w:start w:val="7"/>
    </w:lvl>
  </w:abstractNum>
  <w:abstractNum w:abstractNumId="11">
    <w:nsid w:val="3006C83E"/>
    <w:multiLevelType w:val="hybridMultilevel"/>
    <w:lvl w:ilvl="0">
      <w:lvlJc w:val="left"/>
      <w:lvlText w:val="%1."/>
      <w:numFmt w:val="decimal"/>
      <w:start w:val="8"/>
    </w:lvl>
  </w:abstractNum>
  <w:abstractNum w:abstractNumId="12">
    <w:nsid w:val="614FD4A1"/>
    <w:multiLevelType w:val="hybridMultilevel"/>
    <w:lvl w:ilvl="0">
      <w:lvlJc w:val="left"/>
      <w:lvlText w:val="%1."/>
      <w:numFmt w:val="decimal"/>
      <w:start w:val="9"/>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lowerLetter"/>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lowerRoman"/>
      <w:start w:val="1"/>
    </w:lvl>
  </w:abstractNum>
  <w:abstractNum w:abstractNumId="54">
    <w:nsid w:val="23F9C13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30" Type="http://schemas.openxmlformats.org/officeDocument/2006/relationships/hyperlink" Target="https://www.sec.gov/Archives/edgar/data/1847367/000110465925010169/tm254989d1_ex2-1.htm" TargetMode="External"/><Relationship Id="rId131" Type="http://schemas.openxmlformats.org/officeDocument/2006/relationships/hyperlink" Target="https://www.sec.gov/Archives/edgar/data/1847367/000110465925036483/tm2512707d4_ex2-1.htm" TargetMode="External"/><Relationship Id="rId132" Type="http://schemas.openxmlformats.org/officeDocument/2006/relationships/hyperlink" Target="https://www.sec.gov/Archives/edgar/data/1847367/000110465924076815/tm2411163d19_ex3-1.htm" TargetMode="External"/><Relationship Id="rId133" Type="http://schemas.openxmlformats.org/officeDocument/2006/relationships/hyperlink" Target="https://www.sec.gov/Archives/edgar/data/1847367/000110465924076815/tm2411163d1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2026-05-14T15:42:28Z</dcterms:created>
  <dcterms:modified xsi:type="dcterms:W3CDTF">2026-05-14T15:42:28Z</dcterms:modified>
</cp:coreProperties>
</file>