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84"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107"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Alumis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323850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5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3399155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509905</wp:posOffset>
            </wp:positionV>
            <wp:extent cx="1962785"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27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280 East Grand Avenue</w:t>
      </w:r>
    </w:p>
    <w:p>
      <w:pPr>
        <w:jc w:val="center"/>
        <w:ind w:right="-84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18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 THE 2026 ANNUAL MEETING OF STOCKHOLDERS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June 30, 2026</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Alumis Inc. Stockholders:</w:t>
      </w:r>
    </w:p>
    <w:p>
      <w:pPr>
        <w:spacing w:after="0" w:line="63"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Alumis Inc. (“we” or “us,” or the “Company”), which will be held on Tuesday, June 30, 2026 at 9:00 a.m. Pacific Time. The Annual Meeting will be a virtual meeting conducted exclusively online via live audio webcast.</w:t>
      </w:r>
    </w:p>
    <w:p>
      <w:pPr>
        <w:spacing w:after="0" w:line="216" w:lineRule="exact"/>
        <w:rPr>
          <w:sz w:val="20"/>
          <w:szCs w:val="20"/>
          <w:color w:val="auto"/>
        </w:rPr>
      </w:pPr>
    </w:p>
    <w:p>
      <w:pPr>
        <w:ind w:left="1260" w:right="1379" w:firstLine="360"/>
        <w:spacing w:after="0" w:line="250" w:lineRule="auto"/>
        <w:rPr>
          <w:sz w:val="20"/>
          <w:szCs w:val="20"/>
          <w:color w:val="auto"/>
        </w:rPr>
      </w:pPr>
      <w:r>
        <w:rPr>
          <w:rFonts w:ascii="Times New Roman" w:cs="Times New Roman" w:eastAsia="Times New Roman" w:hAnsi="Times New Roman"/>
          <w:sz w:val="18"/>
          <w:szCs w:val="18"/>
          <w:color w:val="auto"/>
        </w:rPr>
        <w:t>The Annual Meeting will be held for the following purposes, as more fully described in the accompanying proxy statement (“Proxy Statement”):</w:t>
      </w:r>
    </w:p>
    <w:p>
      <w:pPr>
        <w:spacing w:after="0" w:line="55" w:lineRule="exact"/>
        <w:rPr>
          <w:sz w:val="20"/>
          <w:szCs w:val="20"/>
          <w:color w:val="auto"/>
        </w:rPr>
      </w:pPr>
    </w:p>
    <w:p>
      <w:pPr>
        <w:ind w:left="1620" w:right="639" w:firstLine="360"/>
        <w:spacing w:after="0" w:line="250" w:lineRule="auto"/>
        <w:tabs>
          <w:tab w:leader="none" w:pos="2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three Class II director nominees named in the Proxy Statement to serve until the 2029 Annual Meeting of Stockholders;</w:t>
      </w:r>
    </w:p>
    <w:p>
      <w:pPr>
        <w:spacing w:after="0" w:line="54" w:lineRule="exact"/>
        <w:rPr>
          <w:rFonts w:ascii="Times New Roman" w:cs="Times New Roman" w:eastAsia="Times New Roman" w:hAnsi="Times New Roman"/>
          <w:sz w:val="18"/>
          <w:szCs w:val="18"/>
          <w:color w:val="auto"/>
        </w:rPr>
      </w:pPr>
    </w:p>
    <w:p>
      <w:pPr>
        <w:ind w:left="1620" w:right="839" w:firstLine="360"/>
        <w:spacing w:after="0" w:line="250" w:lineRule="auto"/>
        <w:tabs>
          <w:tab w:leader="none" w:pos="2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auditor for our fiscal year ending December 31, 2026; and</w:t>
      </w:r>
    </w:p>
    <w:p>
      <w:pPr>
        <w:spacing w:after="0" w:line="54" w:lineRule="exact"/>
        <w:rPr>
          <w:rFonts w:ascii="Times New Roman" w:cs="Times New Roman" w:eastAsia="Times New Roman" w:hAnsi="Times New Roman"/>
          <w:sz w:val="18"/>
          <w:szCs w:val="18"/>
          <w:color w:val="auto"/>
        </w:rPr>
      </w:pPr>
    </w:p>
    <w:p>
      <w:pPr>
        <w:ind w:left="1620" w:right="899" w:firstLine="360"/>
        <w:spacing w:after="0" w:line="250" w:lineRule="auto"/>
        <w:tabs>
          <w:tab w:leader="none" w:pos="2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that may properly come before the Annual Meeting or any postponement or adjournment thereof.</w:t>
      </w:r>
    </w:p>
    <w:p>
      <w:pPr>
        <w:spacing w:after="0" w:line="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Annual Meeting can be attended by visiting </w:t>
      </w:r>
      <w:r>
        <w:rPr>
          <w:rFonts w:ascii="Times New Roman" w:cs="Times New Roman" w:eastAsia="Times New Roman" w:hAnsi="Times New Roman"/>
          <w:sz w:val="18"/>
          <w:szCs w:val="18"/>
          <w:i w:val="1"/>
          <w:iCs w:val="1"/>
          <w:color w:val="auto"/>
        </w:rPr>
        <w:t>www.virtualshareholdermeeting.com/ALMS2026</w:t>
      </w:r>
      <w:r>
        <w:rPr>
          <w:rFonts w:ascii="Times New Roman" w:cs="Times New Roman" w:eastAsia="Times New Roman" w:hAnsi="Times New Roman"/>
          <w:sz w:val="18"/>
          <w:szCs w:val="18"/>
          <w:color w:val="auto"/>
        </w:rPr>
        <w:t xml:space="preserve"> and</w:t>
      </w:r>
    </w:p>
    <w:p>
      <w:pPr>
        <w:ind w:left="1260"/>
        <w:spacing w:after="0" w:line="223" w:lineRule="auto"/>
        <w:rPr>
          <w:sz w:val="20"/>
          <w:szCs w:val="20"/>
          <w:color w:val="auto"/>
        </w:rPr>
      </w:pPr>
      <w:r>
        <w:rPr>
          <w:rFonts w:ascii="Times New Roman" w:cs="Times New Roman" w:eastAsia="Times New Roman" w:hAnsi="Times New Roman"/>
          <w:sz w:val="18"/>
          <w:szCs w:val="18"/>
          <w:color w:val="auto"/>
        </w:rPr>
        <w:t>entering your 16-digit Control Number included in your Notice of Internet Availability of Proxy Materials,</w:t>
      </w:r>
    </w:p>
    <w:p>
      <w:pPr>
        <w:ind w:left="1260"/>
        <w:spacing w:after="0" w:line="219" w:lineRule="auto"/>
        <w:rPr>
          <w:sz w:val="20"/>
          <w:szCs w:val="20"/>
          <w:color w:val="auto"/>
        </w:rPr>
      </w:pPr>
      <w:r>
        <w:rPr>
          <w:rFonts w:ascii="Times New Roman" w:cs="Times New Roman" w:eastAsia="Times New Roman" w:hAnsi="Times New Roman"/>
          <w:sz w:val="18"/>
          <w:szCs w:val="18"/>
          <w:color w:val="auto"/>
        </w:rPr>
        <w:t>proxy card or voting instruction form sent to you. You may log in to the Annual Meeting beginning at</w:t>
      </w:r>
    </w:p>
    <w:p>
      <w:pPr>
        <w:ind w:left="1260"/>
        <w:spacing w:after="0" w:line="220" w:lineRule="auto"/>
        <w:rPr>
          <w:sz w:val="20"/>
          <w:szCs w:val="20"/>
          <w:color w:val="auto"/>
        </w:rPr>
      </w:pPr>
      <w:r>
        <w:rPr>
          <w:rFonts w:ascii="Times New Roman" w:cs="Times New Roman" w:eastAsia="Times New Roman" w:hAnsi="Times New Roman"/>
          <w:sz w:val="18"/>
          <w:szCs w:val="18"/>
          <w:color w:val="auto"/>
        </w:rPr>
        <w:t>8:45 a.m. Pacific Time, on Tuesday, June 30, 2026. Please refer to the additional instructions for attending</w:t>
      </w:r>
    </w:p>
    <w:p>
      <w:pPr>
        <w:ind w:left="1260"/>
        <w:spacing w:after="0"/>
        <w:rPr>
          <w:sz w:val="20"/>
          <w:szCs w:val="20"/>
          <w:color w:val="auto"/>
        </w:rPr>
      </w:pPr>
      <w:r>
        <w:rPr>
          <w:rFonts w:ascii="Times New Roman" w:cs="Times New Roman" w:eastAsia="Times New Roman" w:hAnsi="Times New Roman"/>
          <w:sz w:val="18"/>
          <w:szCs w:val="18"/>
          <w:color w:val="auto"/>
        </w:rPr>
        <w:t>the virtual Annual Meeting and recommendations provided in the accompanying Proxy Statement.</w:t>
      </w:r>
    </w:p>
    <w:p>
      <w:pPr>
        <w:spacing w:after="0" w:line="30" w:lineRule="exact"/>
        <w:rPr>
          <w:sz w:val="20"/>
          <w:szCs w:val="20"/>
          <w:color w:val="auto"/>
        </w:rPr>
      </w:pPr>
    </w:p>
    <w:p>
      <w:pPr>
        <w:ind w:left="1260" w:right="579" w:firstLine="360"/>
        <w:spacing w:after="0" w:line="236" w:lineRule="auto"/>
        <w:rPr>
          <w:sz w:val="20"/>
          <w:szCs w:val="20"/>
          <w:color w:val="auto"/>
        </w:rPr>
      </w:pPr>
      <w:r>
        <w:rPr>
          <w:rFonts w:ascii="Times New Roman" w:cs="Times New Roman" w:eastAsia="Times New Roman" w:hAnsi="Times New Roman"/>
          <w:sz w:val="18"/>
          <w:szCs w:val="18"/>
          <w:color w:val="auto"/>
        </w:rPr>
        <w:t>The record date for the Annual Meeting is May 5, 2026. Only stockholders of record at the close of business on that date are entitled to notice of, and may vote at, the Annual Meeting, or any adjournment or postponement thereof.</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 Sanam Pangali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52705</wp:posOffset>
            </wp:positionV>
            <wp:extent cx="1508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Sanam Pangali</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81915</wp:posOffset>
            </wp:positionV>
            <wp:extent cx="5212080" cy="1894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8942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55" w:lineRule="exact"/>
        <w:rPr>
          <w:sz w:val="20"/>
          <w:szCs w:val="20"/>
          <w:color w:val="auto"/>
        </w:rPr>
      </w:pPr>
    </w:p>
    <w:p>
      <w:pPr>
        <w:ind w:left="14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2026 Annual Meeting of Stockholders to be Held on Tuesday, June 30, 2026 at 9:00 a.m. Pacific Time via live audio webcast.</w:t>
      </w:r>
    </w:p>
    <w:p>
      <w:pPr>
        <w:spacing w:after="0" w:line="74" w:lineRule="exact"/>
        <w:rPr>
          <w:sz w:val="20"/>
          <w:szCs w:val="20"/>
          <w:color w:val="auto"/>
        </w:rPr>
      </w:pPr>
    </w:p>
    <w:p>
      <w:pPr>
        <w:jc w:val="center"/>
        <w:ind w:left="144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 intend to mail the Notice of Internet Availability of Proxy Materials (the “Notice”) on or about May 18, 2026 to all stockholders of record entitled to vote at the Annual Meeting. The Notice, the accompanying Proxy Statement and our 2025 Annual Report on Form 10-K are available at </w:t>
      </w:r>
      <w:r>
        <w:rPr>
          <w:rFonts w:ascii="Times New Roman" w:cs="Times New Roman" w:eastAsia="Times New Roman" w:hAnsi="Times New Roman"/>
          <w:sz w:val="18"/>
          <w:szCs w:val="18"/>
          <w:b w:val="1"/>
          <w:bCs w:val="1"/>
          <w:i w:val="1"/>
          <w:iCs w:val="1"/>
          <w:color w:val="auto"/>
        </w:rPr>
        <w:t>www.virtualshareholdermeeting.com/ALMS2026.</w:t>
      </w:r>
    </w:p>
    <w:p>
      <w:pPr>
        <w:spacing w:after="0" w:line="95" w:lineRule="exact"/>
        <w:rPr>
          <w:sz w:val="20"/>
          <w:szCs w:val="20"/>
          <w:color w:val="auto"/>
        </w:rPr>
      </w:pPr>
    </w:p>
    <w:p>
      <w:pPr>
        <w:jc w:val="center"/>
        <w:ind w:left="1440" w:right="20"/>
        <w:spacing w:after="0" w:line="259"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expect to attend the Annual Meeting, please vote as promptly as possible to ensure your representation at the Annual Meeting. You may vote online or over the telephone prior to the Annual Meeting, or, if you request a paper proxy card by mail, by completing and returning such proxy card as instructed in these materials. Even if you have voted by proxy, you may still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732155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2">
            <w:col w:w="9280" w:space="80"/>
            <w:col w:w="51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280 East Grand Avenue</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5260" w:type="dxa"/>
            <w:vAlign w:val="bottom"/>
            <w:gridSpan w:val="7"/>
          </w:tcPr>
          <w:p>
            <w:pPr>
              <w:jc w:val="center"/>
              <w:ind w:right="2819"/>
              <w:spacing w:after="0"/>
              <w:rPr>
                <w:sz w:val="20"/>
                <w:szCs w:val="20"/>
                <w:color w:val="auto"/>
              </w:rPr>
            </w:pPr>
            <w:r>
              <w:rPr>
                <w:rFonts w:ascii="Times New Roman" w:cs="Times New Roman" w:eastAsia="Times New Roman" w:hAnsi="Times New Roman"/>
                <w:sz w:val="18"/>
                <w:szCs w:val="18"/>
                <w:b w:val="1"/>
                <w:bCs w:val="1"/>
                <w:color w:val="auto"/>
                <w:w w:val="95"/>
              </w:rPr>
              <w:t>June 30, 2026</w:t>
            </w:r>
          </w:p>
        </w:tc>
      </w:tr>
      <w:tr>
        <w:trPr>
          <w:trHeight w:val="410"/>
        </w:trPr>
        <w:tc>
          <w:tcPr>
            <w:tcW w:w="2920" w:type="dxa"/>
            <w:vAlign w:val="bottom"/>
          </w:tcPr>
          <w:p>
            <w:pPr>
              <w:spacing w:after="0"/>
              <w:rPr>
                <w:sz w:val="24"/>
                <w:szCs w:val="24"/>
                <w:color w:val="auto"/>
              </w:rPr>
            </w:pPr>
          </w:p>
        </w:tc>
        <w:tc>
          <w:tcPr>
            <w:tcW w:w="5260" w:type="dxa"/>
            <w:vAlign w:val="bottom"/>
            <w:gridSpan w:val="7"/>
          </w:tcPr>
          <w:p>
            <w:pPr>
              <w:jc w:val="center"/>
              <w:ind w:right="2819"/>
              <w:spacing w:after="0"/>
              <w:rPr>
                <w:sz w:val="20"/>
                <w:szCs w:val="20"/>
                <w:color w:val="auto"/>
              </w:rPr>
            </w:pPr>
            <w:r>
              <w:rPr>
                <w:rFonts w:ascii="Times New Roman" w:cs="Times New Roman" w:eastAsia="Times New Roman" w:hAnsi="Times New Roman"/>
                <w:sz w:val="18"/>
                <w:szCs w:val="18"/>
                <w:b w:val="1"/>
                <w:bCs w:val="1"/>
                <w:color w:val="auto"/>
                <w:w w:val="96"/>
              </w:rPr>
              <w:t>MEETING AGENDA</w:t>
            </w:r>
          </w:p>
        </w:tc>
      </w:tr>
      <w:tr>
        <w:trPr>
          <w:trHeight w:val="326"/>
        </w:trPr>
        <w:tc>
          <w:tcPr>
            <w:tcW w:w="2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Board</w:t>
            </w:r>
          </w:p>
        </w:tc>
      </w:tr>
      <w:tr>
        <w:trPr>
          <w:trHeight w:val="19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Recommendation</w:t>
            </w:r>
          </w:p>
        </w:tc>
      </w:tr>
      <w:tr>
        <w:trPr>
          <w:trHeight w:val="23"/>
        </w:trPr>
        <w:tc>
          <w:tcPr>
            <w:tcW w:w="2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1120" w:type="dxa"/>
            <w:vAlign w:val="bottom"/>
            <w:gridSpan w:val="3"/>
          </w:tcPr>
          <w:p>
            <w:pPr>
              <w:spacing w:after="0"/>
              <w:rPr>
                <w:sz w:val="18"/>
                <w:szCs w:val="18"/>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“For” each director nominee</w:t>
            </w: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the appointment of</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r>
      <w:tr>
        <w:trPr>
          <w:trHeight w:val="20"/>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PricewaterhouseCoopers LLP as the Company’s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independent auditor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5968365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60" w:type="dxa"/>
            <w:vAlign w:val="bottom"/>
            <w:gridSpan w:val="1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5"/>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80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QUESTIONS AND ANSWERS ABOUT THE PROXY MATERIALS AND VOTING</w:t>
            </w:r>
          </w:p>
        </w:tc>
        <w:tc>
          <w:tcPr>
            <w:tcW w:w="4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5"/>
                <w:szCs w:val="15"/>
                <w:color w:val="auto"/>
              </w:rPr>
            </w:pPr>
          </w:p>
        </w:tc>
      </w:tr>
      <w:tr>
        <w:trPr>
          <w:trHeight w:val="27"/>
        </w:trPr>
        <w:tc>
          <w:tcPr>
            <w:tcW w:w="1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64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1320" w:type="dxa"/>
            <w:vAlign w:val="bottom"/>
            <w:gridSpan w:val="3"/>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9"/>
                <w:szCs w:val="19"/>
                <w:color w:val="auto"/>
              </w:rPr>
            </w:pPr>
          </w:p>
        </w:tc>
      </w:tr>
      <w:tr>
        <w:trPr>
          <w:trHeight w:val="27"/>
        </w:trPr>
        <w:tc>
          <w:tcPr>
            <w:tcW w:w="1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180" w:type="dxa"/>
            <w:vAlign w:val="bottom"/>
            <w:shd w:val="clear" w:color="auto" w:fill="CCEEFF"/>
          </w:tcPr>
          <w:p>
            <w:pPr>
              <w:spacing w:after="0"/>
              <w:rPr>
                <w:sz w:val="19"/>
                <w:szCs w:val="19"/>
                <w:color w:val="auto"/>
              </w:rPr>
            </w:pPr>
          </w:p>
        </w:tc>
        <w:tc>
          <w:tcPr>
            <w:tcW w:w="264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Nominees to the Board of Directors</w:t>
            </w:r>
          </w:p>
        </w:tc>
        <w:tc>
          <w:tcPr>
            <w:tcW w:w="640" w:type="dxa"/>
            <w:vAlign w:val="bottom"/>
            <w:tcBorders>
              <w:left w:val="single" w:sz="8" w:color="CCEEFF"/>
            </w:tcBorders>
            <w:gridSpan w:val="4"/>
            <w:shd w:val="clear" w:color="auto" w:fill="CCEEFF"/>
          </w:tcPr>
          <w:p>
            <w:pPr>
              <w:spacing w:after="0"/>
              <w:rPr>
                <w:sz w:val="19"/>
                <w:szCs w:val="19"/>
                <w:color w:val="auto"/>
              </w:rPr>
            </w:pPr>
          </w:p>
        </w:tc>
        <w:tc>
          <w:tcPr>
            <w:tcW w:w="4340" w:type="dxa"/>
            <w:vAlign w:val="bottom"/>
            <w:gridSpan w:val="16"/>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9"/>
                <w:szCs w:val="19"/>
                <w:color w:val="auto"/>
              </w:rPr>
            </w:pPr>
          </w:p>
        </w:tc>
      </w:tr>
      <w:tr>
        <w:trPr>
          <w:trHeight w:val="27"/>
        </w:trPr>
        <w:tc>
          <w:tcPr>
            <w:tcW w:w="18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180" w:type="dxa"/>
            <w:vAlign w:val="bottom"/>
          </w:tcPr>
          <w:p>
            <w:pPr>
              <w:spacing w:after="0"/>
              <w:rPr>
                <w:sz w:val="20"/>
                <w:szCs w:val="20"/>
                <w:color w:val="auto"/>
              </w:rPr>
            </w:pPr>
          </w:p>
        </w:tc>
        <w:tc>
          <w:tcPr>
            <w:tcW w:w="16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Continuing Directors</w:t>
            </w:r>
          </w:p>
        </w:tc>
        <w:tc>
          <w:tcPr>
            <w:tcW w:w="1040" w:type="dxa"/>
            <w:vAlign w:val="bottom"/>
            <w:gridSpan w:val="10"/>
          </w:tcPr>
          <w:p>
            <w:pPr>
              <w:spacing w:after="0"/>
              <w:rPr>
                <w:sz w:val="20"/>
                <w:szCs w:val="20"/>
                <w:color w:val="auto"/>
              </w:rPr>
            </w:pPr>
          </w:p>
        </w:tc>
        <w:tc>
          <w:tcPr>
            <w:tcW w:w="4980" w:type="dxa"/>
            <w:vAlign w:val="bottom"/>
            <w:gridSpan w:val="20"/>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10</w:t>
            </w:r>
          </w:p>
        </w:tc>
        <w:tc>
          <w:tcPr>
            <w:tcW w:w="60" w:type="dxa"/>
            <w:vAlign w:val="bottom"/>
          </w:tcPr>
          <w:p>
            <w:pPr>
              <w:spacing w:after="0"/>
              <w:rPr>
                <w:sz w:val="20"/>
                <w:szCs w:val="20"/>
                <w:color w:val="auto"/>
              </w:rPr>
            </w:pPr>
          </w:p>
        </w:tc>
      </w:tr>
      <w:tr>
        <w:trPr>
          <w:trHeight w:val="237"/>
        </w:trPr>
        <w:tc>
          <w:tcPr>
            <w:tcW w:w="7800" w:type="dxa"/>
            <w:vAlign w:val="bottom"/>
            <w:tcBorders>
              <w:bottom w:val="single" w:sz="8" w:color="0000EE"/>
            </w:tcBorders>
            <w:gridSpan w:val="36"/>
            <w:shd w:val="clear" w:color="auto" w:fill="CCEEFF"/>
          </w:tcPr>
          <w:p>
            <w:pPr>
              <w:spacing w:after="0"/>
              <w:rPr>
                <w:sz w:val="20"/>
                <w:szCs w:val="20"/>
                <w:color w:val="auto"/>
              </w:rPr>
            </w:pPr>
            <w:r>
              <w:rPr>
                <w:rFonts w:ascii="Times New Roman" w:cs="Times New Roman" w:eastAsia="Times New Roman" w:hAnsi="Times New Roman"/>
                <w:sz w:val="18"/>
                <w:szCs w:val="18"/>
                <w:color w:val="0000EE"/>
                <w:shd w:val="clear" w:color="auto" w:fill="CCEEFF"/>
              </w:rPr>
              <w:t>INFORMATION REGARDING THE BOARD OF DIRECTORS AND CORPORATE GOVERNANCE</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shd w:val="clear" w:color="auto" w:fill="CCEEFF"/>
              </w:rPr>
              <w:t>13</w:t>
            </w:r>
          </w:p>
        </w:tc>
        <w:tc>
          <w:tcPr>
            <w:tcW w:w="60" w:type="dxa"/>
            <w:vAlign w:val="bottom"/>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1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Director Independence</w:t>
            </w:r>
          </w:p>
        </w:tc>
        <w:tc>
          <w:tcPr>
            <w:tcW w:w="5900" w:type="dxa"/>
            <w:vAlign w:val="bottom"/>
            <w:gridSpan w:val="28"/>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13</w:t>
            </w:r>
          </w:p>
        </w:tc>
        <w:tc>
          <w:tcPr>
            <w:tcW w:w="60" w:type="dxa"/>
            <w:vAlign w:val="bottom"/>
          </w:tcPr>
          <w:p>
            <w:pPr>
              <w:spacing w:after="0"/>
              <w:rPr>
                <w:sz w:val="20"/>
                <w:szCs w:val="20"/>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5540" w:type="dxa"/>
            <w:vAlign w:val="bottom"/>
            <w:tcBorders>
              <w:bottom w:val="single" w:sz="8" w:color="CCEEFF"/>
            </w:tcBorders>
            <w:gridSpan w:val="24"/>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13</w:t>
            </w:r>
          </w:p>
        </w:tc>
        <w:tc>
          <w:tcPr>
            <w:tcW w:w="60" w:type="dxa"/>
            <w:vAlign w:val="bottom"/>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17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Director Commitments</w:t>
            </w:r>
          </w:p>
        </w:tc>
        <w:tc>
          <w:tcPr>
            <w:tcW w:w="5880" w:type="dxa"/>
            <w:vAlign w:val="bottom"/>
            <w:gridSpan w:val="27"/>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14</w:t>
            </w:r>
          </w:p>
        </w:tc>
        <w:tc>
          <w:tcPr>
            <w:tcW w:w="60" w:type="dxa"/>
            <w:vAlign w:val="bottom"/>
          </w:tcPr>
          <w:p>
            <w:pPr>
              <w:spacing w:after="0"/>
              <w:rPr>
                <w:sz w:val="20"/>
                <w:szCs w:val="20"/>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Role of the Board of Directors in Risk Oversight</w:t>
            </w:r>
          </w:p>
        </w:tc>
        <w:tc>
          <w:tcPr>
            <w:tcW w:w="3940" w:type="dxa"/>
            <w:vAlign w:val="bottom"/>
            <w:tcBorders>
              <w:bottom w:val="single" w:sz="8" w:color="CCEEFF"/>
            </w:tcBorders>
            <w:gridSpan w:val="13"/>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14</w:t>
            </w:r>
          </w:p>
        </w:tc>
        <w:tc>
          <w:tcPr>
            <w:tcW w:w="60" w:type="dxa"/>
            <w:vAlign w:val="bottom"/>
          </w:tcPr>
          <w:p>
            <w:pPr>
              <w:spacing w:after="0"/>
              <w:rPr>
                <w:sz w:val="20"/>
                <w:szCs w:val="20"/>
                <w:color w:val="auto"/>
              </w:rPr>
            </w:pPr>
          </w:p>
        </w:tc>
      </w:tr>
      <w:tr>
        <w:trPr>
          <w:trHeight w:val="230"/>
        </w:trPr>
        <w:tc>
          <w:tcPr>
            <w:tcW w:w="180" w:type="dxa"/>
            <w:vAlign w:val="bottom"/>
          </w:tcPr>
          <w:p>
            <w:pPr>
              <w:spacing w:after="0"/>
              <w:rPr>
                <w:sz w:val="19"/>
                <w:szCs w:val="19"/>
                <w:color w:val="auto"/>
              </w:rPr>
            </w:pPr>
          </w:p>
        </w:tc>
        <w:tc>
          <w:tcPr>
            <w:tcW w:w="76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Meetings of the Board of Directors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14</w:t>
            </w:r>
          </w:p>
        </w:tc>
        <w:tc>
          <w:tcPr>
            <w:tcW w:w="60" w:type="dxa"/>
            <w:vAlign w:val="bottom"/>
          </w:tcPr>
          <w:p>
            <w:pPr>
              <w:spacing w:after="0"/>
              <w:rPr>
                <w:sz w:val="19"/>
                <w:szCs w:val="19"/>
                <w:color w:val="auto"/>
              </w:rPr>
            </w:pPr>
          </w:p>
        </w:tc>
      </w:tr>
      <w:tr>
        <w:trPr>
          <w:trHeight w:val="27"/>
        </w:trPr>
        <w:tc>
          <w:tcPr>
            <w:tcW w:w="1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Regarding Committees of the Board of Directors</w:t>
            </w:r>
          </w:p>
        </w:tc>
        <w:tc>
          <w:tcPr>
            <w:tcW w:w="2980" w:type="dxa"/>
            <w:vAlign w:val="bottom"/>
            <w:tcBorders>
              <w:bottom w:val="single" w:sz="8" w:color="CCEEFF"/>
            </w:tcBorders>
            <w:gridSpan w:val="8"/>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15</w:t>
            </w:r>
          </w:p>
        </w:tc>
        <w:tc>
          <w:tcPr>
            <w:tcW w:w="60" w:type="dxa"/>
            <w:vAlign w:val="bottom"/>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43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Stockholder Communications with the Board of Directors</w:t>
            </w:r>
          </w:p>
        </w:tc>
        <w:tc>
          <w:tcPr>
            <w:tcW w:w="3260" w:type="dxa"/>
            <w:vAlign w:val="bottom"/>
            <w:gridSpan w:val="9"/>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17</w:t>
            </w:r>
          </w:p>
        </w:tc>
        <w:tc>
          <w:tcPr>
            <w:tcW w:w="60" w:type="dxa"/>
            <w:vAlign w:val="bottom"/>
          </w:tcPr>
          <w:p>
            <w:pPr>
              <w:spacing w:after="0"/>
              <w:rPr>
                <w:sz w:val="20"/>
                <w:szCs w:val="20"/>
                <w:color w:val="auto"/>
              </w:rPr>
            </w:pPr>
          </w:p>
        </w:tc>
      </w:tr>
      <w:tr>
        <w:trPr>
          <w:trHeight w:val="236"/>
        </w:trPr>
        <w:tc>
          <w:tcPr>
            <w:tcW w:w="18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Code of Business Conduct and Ethics</w:t>
            </w:r>
          </w:p>
        </w:tc>
        <w:tc>
          <w:tcPr>
            <w:tcW w:w="4780" w:type="dxa"/>
            <w:vAlign w:val="bottom"/>
            <w:tcBorders>
              <w:bottom w:val="single" w:sz="8" w:color="CCEEFF"/>
            </w:tcBorders>
            <w:gridSpan w:val="19"/>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17</w:t>
            </w:r>
          </w:p>
        </w:tc>
        <w:tc>
          <w:tcPr>
            <w:tcW w:w="60" w:type="dxa"/>
            <w:vAlign w:val="bottom"/>
          </w:tcPr>
          <w:p>
            <w:pPr>
              <w:spacing w:after="0"/>
              <w:rPr>
                <w:sz w:val="20"/>
                <w:szCs w:val="20"/>
                <w:color w:val="auto"/>
              </w:rPr>
            </w:pPr>
          </w:p>
        </w:tc>
      </w:tr>
      <w:tr>
        <w:trPr>
          <w:trHeight w:val="250"/>
        </w:trPr>
        <w:tc>
          <w:tcPr>
            <w:tcW w:w="180" w:type="dxa"/>
            <w:vAlign w:val="bottom"/>
          </w:tcPr>
          <w:p>
            <w:pPr>
              <w:spacing w:after="0"/>
              <w:rPr>
                <w:sz w:val="21"/>
                <w:szCs w:val="21"/>
                <w:color w:val="auto"/>
              </w:rPr>
            </w:pPr>
          </w:p>
        </w:tc>
        <w:tc>
          <w:tcPr>
            <w:tcW w:w="76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Corporate Governance Guidelines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18</w:t>
            </w:r>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top w:val="single" w:sz="8" w:color="0000EE"/>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Insider Trading Policy</w:t>
            </w:r>
          </w:p>
        </w:tc>
        <w:tc>
          <w:tcPr>
            <w:tcW w:w="860" w:type="dxa"/>
            <w:vAlign w:val="bottom"/>
            <w:tcBorders>
              <w:top w:val="single" w:sz="8" w:color="0000EE"/>
              <w:bottom w:val="single" w:sz="8" w:color="CCEEFF"/>
            </w:tcBorders>
            <w:gridSpan w:val="8"/>
            <w:shd w:val="clear" w:color="auto" w:fill="CCEEFF"/>
          </w:tcPr>
          <w:p>
            <w:pPr>
              <w:spacing w:after="0"/>
              <w:rPr>
                <w:sz w:val="21"/>
                <w:szCs w:val="21"/>
                <w:color w:val="auto"/>
              </w:rPr>
            </w:pPr>
          </w:p>
        </w:tc>
        <w:tc>
          <w:tcPr>
            <w:tcW w:w="5060" w:type="dxa"/>
            <w:vAlign w:val="bottom"/>
            <w:tcBorders>
              <w:bottom w:val="single" w:sz="8" w:color="CCEEFF"/>
            </w:tcBorders>
            <w:gridSpan w:val="21"/>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0000EE"/>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18</w:t>
            </w:r>
          </w:p>
        </w:tc>
        <w:tc>
          <w:tcPr>
            <w:tcW w:w="60" w:type="dxa"/>
            <w:vAlign w:val="bottom"/>
          </w:tcPr>
          <w:p>
            <w:pPr>
              <w:spacing w:after="0"/>
              <w:rPr>
                <w:sz w:val="21"/>
                <w:szCs w:val="21"/>
                <w:color w:val="auto"/>
              </w:rPr>
            </w:pPr>
          </w:p>
        </w:tc>
      </w:tr>
      <w:tr>
        <w:trPr>
          <w:trHeight w:val="250"/>
        </w:trPr>
        <w:tc>
          <w:tcPr>
            <w:tcW w:w="660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rPr>
              <w:t>PROPOSAL 2: RATIFICATION OF APPOINTMENT OF INDEPENDENT AUDITOR</w:t>
            </w:r>
          </w:p>
        </w:tc>
        <w:tc>
          <w:tcPr>
            <w:tcW w:w="12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c>
          <w:tcPr>
            <w:tcW w:w="60" w:type="dxa"/>
            <w:vAlign w:val="bottom"/>
          </w:tcPr>
          <w:p>
            <w:pPr>
              <w:spacing w:after="0"/>
              <w:rPr>
                <w:sz w:val="21"/>
                <w:szCs w:val="21"/>
                <w:color w:val="auto"/>
              </w:rPr>
            </w:pPr>
          </w:p>
        </w:tc>
      </w:tr>
      <w:tr>
        <w:trPr>
          <w:trHeight w:val="250"/>
        </w:trPr>
        <w:tc>
          <w:tcPr>
            <w:tcW w:w="180" w:type="dxa"/>
            <w:vAlign w:val="bottom"/>
            <w:shd w:val="clear" w:color="auto" w:fill="CCEEFF"/>
          </w:tcPr>
          <w:p>
            <w:pPr>
              <w:spacing w:after="0"/>
              <w:rPr>
                <w:sz w:val="21"/>
                <w:szCs w:val="21"/>
                <w:color w:val="auto"/>
              </w:rPr>
            </w:pPr>
          </w:p>
        </w:tc>
        <w:tc>
          <w:tcPr>
            <w:tcW w:w="762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Independent Registered Public Accounting Firm Fees and Services</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19</w:t>
            </w:r>
          </w:p>
        </w:tc>
        <w:tc>
          <w:tcPr>
            <w:tcW w:w="60" w:type="dxa"/>
            <w:vAlign w:val="bottom"/>
          </w:tcPr>
          <w:p>
            <w:pPr>
              <w:spacing w:after="0"/>
              <w:rPr>
                <w:sz w:val="21"/>
                <w:szCs w:val="21"/>
                <w:color w:val="auto"/>
              </w:rPr>
            </w:pPr>
          </w:p>
        </w:tc>
      </w:tr>
      <w:tr>
        <w:trPr>
          <w:trHeight w:val="250"/>
        </w:trPr>
        <w:tc>
          <w:tcPr>
            <w:tcW w:w="180" w:type="dxa"/>
            <w:vAlign w:val="bottom"/>
            <w:tcBorders>
              <w:top w:val="single" w:sz="8" w:color="CCEEFF"/>
            </w:tcBorders>
          </w:tcPr>
          <w:p>
            <w:pPr>
              <w:spacing w:after="0"/>
              <w:rPr>
                <w:sz w:val="21"/>
                <w:szCs w:val="21"/>
                <w:color w:val="auto"/>
              </w:rPr>
            </w:pPr>
          </w:p>
        </w:tc>
        <w:tc>
          <w:tcPr>
            <w:tcW w:w="288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Pre-Approval Policies and Procedures</w:t>
            </w:r>
          </w:p>
        </w:tc>
        <w:tc>
          <w:tcPr>
            <w:tcW w:w="2160" w:type="dxa"/>
            <w:vAlign w:val="bottom"/>
            <w:tcBorders>
              <w:top w:val="single" w:sz="8" w:color="0000EE"/>
            </w:tcBorders>
            <w:gridSpan w:val="11"/>
          </w:tcPr>
          <w:p>
            <w:pPr>
              <w:spacing w:after="0"/>
              <w:rPr>
                <w:sz w:val="21"/>
                <w:szCs w:val="21"/>
                <w:color w:val="auto"/>
              </w:rPr>
            </w:pPr>
          </w:p>
        </w:tc>
        <w:tc>
          <w:tcPr>
            <w:tcW w:w="2580" w:type="dxa"/>
            <w:vAlign w:val="bottom"/>
            <w:tcBorders>
              <w:top w:val="single" w:sz="8" w:color="CCEEFF"/>
            </w:tcBorders>
            <w:gridSpan w:val="7"/>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c>
          <w:tcPr>
            <w:tcW w:w="60" w:type="dxa"/>
            <w:vAlign w:val="bottom"/>
          </w:tcPr>
          <w:p>
            <w:pPr>
              <w:spacing w:after="0"/>
              <w:rPr>
                <w:sz w:val="21"/>
                <w:szCs w:val="21"/>
                <w:color w:val="auto"/>
              </w:rPr>
            </w:pPr>
          </w:p>
        </w:tc>
      </w:tr>
      <w:tr>
        <w:trPr>
          <w:trHeight w:val="250"/>
        </w:trPr>
        <w:tc>
          <w:tcPr>
            <w:tcW w:w="780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21</w:t>
            </w:r>
          </w:p>
        </w:tc>
        <w:tc>
          <w:tcPr>
            <w:tcW w:w="60" w:type="dxa"/>
            <w:vAlign w:val="bottom"/>
          </w:tcPr>
          <w:p>
            <w:pPr>
              <w:spacing w:after="0"/>
              <w:rPr>
                <w:sz w:val="21"/>
                <w:szCs w:val="21"/>
                <w:color w:val="auto"/>
              </w:rPr>
            </w:pPr>
          </w:p>
        </w:tc>
      </w:tr>
      <w:tr>
        <w:trPr>
          <w:trHeight w:val="250"/>
        </w:trPr>
        <w:tc>
          <w:tcPr>
            <w:tcW w:w="19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3960" w:type="dxa"/>
            <w:vAlign w:val="bottom"/>
            <w:tcBorders>
              <w:top w:val="single" w:sz="8" w:color="0000EE"/>
            </w:tcBorders>
            <w:gridSpan w:val="22"/>
          </w:tcPr>
          <w:p>
            <w:pPr>
              <w:spacing w:after="0"/>
              <w:rPr>
                <w:sz w:val="21"/>
                <w:szCs w:val="21"/>
                <w:color w:val="auto"/>
              </w:rPr>
            </w:pPr>
          </w:p>
        </w:tc>
        <w:tc>
          <w:tcPr>
            <w:tcW w:w="1880" w:type="dxa"/>
            <w:vAlign w:val="bottom"/>
            <w:tcBorders>
              <w:top w:val="single" w:sz="8" w:color="CCEEFF"/>
            </w:tcBorders>
            <w:gridSpan w:val="4"/>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c>
          <w:tcPr>
            <w:tcW w:w="60" w:type="dxa"/>
            <w:vAlign w:val="bottom"/>
          </w:tcPr>
          <w:p>
            <w:pPr>
              <w:spacing w:after="0"/>
              <w:rPr>
                <w:sz w:val="21"/>
                <w:szCs w:val="21"/>
                <w:color w:val="auto"/>
              </w:rPr>
            </w:pPr>
          </w:p>
        </w:tc>
      </w:tr>
      <w:tr>
        <w:trPr>
          <w:trHeight w:val="250"/>
        </w:trPr>
        <w:tc>
          <w:tcPr>
            <w:tcW w:w="6960" w:type="dxa"/>
            <w:vAlign w:val="bottom"/>
            <w:tcBorders>
              <w:bottom w:val="single" w:sz="8" w:color="0000EE"/>
            </w:tcBorders>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c>
          <w:tcPr>
            <w:tcW w:w="60" w:type="dxa"/>
            <w:vAlign w:val="bottom"/>
          </w:tcPr>
          <w:p>
            <w:pPr>
              <w:spacing w:after="0"/>
              <w:rPr>
                <w:sz w:val="21"/>
                <w:szCs w:val="21"/>
                <w:color w:val="auto"/>
              </w:rPr>
            </w:pPr>
          </w:p>
        </w:tc>
      </w:tr>
      <w:tr>
        <w:trPr>
          <w:trHeight w:val="250"/>
        </w:trPr>
        <w:tc>
          <w:tcPr>
            <w:tcW w:w="78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EXECUTIVE AND DIRECTOR COMPENSATION</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28</w:t>
            </w:r>
          </w:p>
        </w:tc>
        <w:tc>
          <w:tcPr>
            <w:tcW w:w="60" w:type="dxa"/>
            <w:vAlign w:val="bottom"/>
          </w:tcPr>
          <w:p>
            <w:pPr>
              <w:spacing w:after="0"/>
              <w:rPr>
                <w:sz w:val="21"/>
                <w:szCs w:val="21"/>
                <w:color w:val="auto"/>
              </w:rPr>
            </w:pPr>
          </w:p>
        </w:tc>
      </w:tr>
      <w:tr>
        <w:trPr>
          <w:trHeight w:val="250"/>
        </w:trPr>
        <w:tc>
          <w:tcPr>
            <w:tcW w:w="180" w:type="dxa"/>
            <w:vAlign w:val="bottom"/>
            <w:tcBorders>
              <w:top w:val="single" w:sz="8" w:color="0000EE"/>
              <w:bottom w:val="single" w:sz="8" w:color="CCEEFF"/>
            </w:tcBorders>
            <w:shd w:val="clear" w:color="auto" w:fill="CCEEFF"/>
          </w:tcPr>
          <w:p>
            <w:pPr>
              <w:spacing w:after="0"/>
              <w:rPr>
                <w:sz w:val="21"/>
                <w:szCs w:val="21"/>
                <w:color w:val="auto"/>
              </w:rPr>
            </w:pPr>
          </w:p>
        </w:tc>
        <w:tc>
          <w:tcPr>
            <w:tcW w:w="2320" w:type="dxa"/>
            <w:vAlign w:val="bottom"/>
            <w:tcBorders>
              <w:top w:val="single" w:sz="8" w:color="0000EE"/>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1440" w:type="dxa"/>
            <w:vAlign w:val="bottom"/>
            <w:tcBorders>
              <w:top w:val="single" w:sz="8" w:color="0000EE"/>
              <w:bottom w:val="single" w:sz="8" w:color="CCEEFF"/>
            </w:tcBorders>
            <w:gridSpan w:val="11"/>
            <w:shd w:val="clear" w:color="auto" w:fill="CCEEFF"/>
          </w:tcPr>
          <w:p>
            <w:pPr>
              <w:spacing w:after="0"/>
              <w:rPr>
                <w:sz w:val="21"/>
                <w:szCs w:val="21"/>
                <w:color w:val="auto"/>
              </w:rPr>
            </w:pPr>
          </w:p>
        </w:tc>
        <w:tc>
          <w:tcPr>
            <w:tcW w:w="3860" w:type="dxa"/>
            <w:vAlign w:val="bottom"/>
            <w:tcBorders>
              <w:bottom w:val="single" w:sz="8" w:color="CCEEFF"/>
            </w:tcBorders>
            <w:gridSpan w:val="1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0000EE"/>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5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Narrative to the Summary Compensation Table</w:t>
            </w:r>
          </w:p>
        </w:tc>
        <w:tc>
          <w:tcPr>
            <w:tcW w:w="4060" w:type="dxa"/>
            <w:vAlign w:val="bottom"/>
            <w:gridSpan w:val="14"/>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Employment Agreements</w:t>
            </w:r>
          </w:p>
        </w:tc>
        <w:tc>
          <w:tcPr>
            <w:tcW w:w="5700" w:type="dxa"/>
            <w:vAlign w:val="bottom"/>
            <w:tcBorders>
              <w:bottom w:val="single" w:sz="8" w:color="CCEEFF"/>
            </w:tcBorders>
            <w:gridSpan w:val="25"/>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c>
          <w:tcPr>
            <w:tcW w:w="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54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Potential Payments and Benefits upon Termination or Change in Control</w:t>
            </w:r>
          </w:p>
        </w:tc>
        <w:tc>
          <w:tcPr>
            <w:tcW w:w="2140" w:type="dxa"/>
            <w:vAlign w:val="bottom"/>
            <w:gridSpan w:val="6"/>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Pension Benefits</w:t>
            </w:r>
          </w:p>
        </w:tc>
        <w:tc>
          <w:tcPr>
            <w:tcW w:w="6340" w:type="dxa"/>
            <w:vAlign w:val="bottom"/>
            <w:tcBorders>
              <w:bottom w:val="single" w:sz="8" w:color="CCEEFF"/>
            </w:tcBorders>
            <w:gridSpan w:val="3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8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Nonqualified Deferred Compensation</w:t>
            </w:r>
          </w:p>
        </w:tc>
        <w:tc>
          <w:tcPr>
            <w:tcW w:w="4780" w:type="dxa"/>
            <w:vAlign w:val="bottom"/>
            <w:gridSpan w:val="19"/>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Compensation and Benefits</w:t>
            </w:r>
          </w:p>
        </w:tc>
        <w:tc>
          <w:tcPr>
            <w:tcW w:w="5060" w:type="dxa"/>
            <w:vAlign w:val="bottom"/>
            <w:tcBorders>
              <w:bottom w:val="single" w:sz="8" w:color="CCEEFF"/>
            </w:tcBorders>
            <w:gridSpan w:val="21"/>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60" w:type="dxa"/>
            <w:vAlign w:val="bottom"/>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6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401(k) Plan</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c>
          <w:tcPr>
            <w:tcW w:w="6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Recovery Policy</w:t>
            </w:r>
          </w:p>
        </w:tc>
        <w:tc>
          <w:tcPr>
            <w:tcW w:w="5240" w:type="dxa"/>
            <w:vAlign w:val="bottom"/>
            <w:tcBorders>
              <w:bottom w:val="single" w:sz="8" w:color="CCEEFF"/>
            </w:tcBorders>
            <w:gridSpan w:val="2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60" w:type="dxa"/>
            <w:vAlign w:val="bottom"/>
          </w:tcPr>
          <w:p>
            <w:pPr>
              <w:spacing w:after="0"/>
              <w:rPr>
                <w:sz w:val="21"/>
                <w:szCs w:val="21"/>
                <w:color w:val="auto"/>
              </w:rPr>
            </w:pPr>
          </w:p>
        </w:tc>
      </w:tr>
      <w:tr>
        <w:trPr>
          <w:trHeight w:val="230"/>
        </w:trPr>
        <w:tc>
          <w:tcPr>
            <w:tcW w:w="180" w:type="dxa"/>
            <w:vAlign w:val="bottom"/>
          </w:tcPr>
          <w:p>
            <w:pPr>
              <w:spacing w:after="0"/>
              <w:rPr>
                <w:sz w:val="19"/>
                <w:szCs w:val="19"/>
                <w:color w:val="auto"/>
              </w:rPr>
            </w:pPr>
          </w:p>
        </w:tc>
        <w:tc>
          <w:tcPr>
            <w:tcW w:w="762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rPr>
              <w:t>Policies and Practices Related to the Grant of Certain Equity Awards Close in Time to the Release of</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620" w:type="dxa"/>
            <w:vAlign w:val="bottom"/>
            <w:gridSpan w:val="35"/>
          </w:tcPr>
          <w:p>
            <w:pPr>
              <w:ind w:left="180"/>
              <w:spacing w:after="0" w:line="196" w:lineRule="exact"/>
              <w:rPr>
                <w:sz w:val="20"/>
                <w:szCs w:val="20"/>
                <w:color w:val="auto"/>
              </w:rPr>
            </w:pPr>
            <w:r>
              <w:rPr>
                <w:rFonts w:ascii="Times New Roman" w:cs="Times New Roman" w:eastAsia="Times New Roman" w:hAnsi="Times New Roman"/>
                <w:sz w:val="18"/>
                <w:szCs w:val="18"/>
                <w:color w:val="0000EE"/>
              </w:rPr>
              <w:t>Material Nonpublic Information</w:t>
            </w:r>
          </w:p>
        </w:tc>
        <w:tc>
          <w:tcPr>
            <w:tcW w:w="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35</w:t>
            </w:r>
          </w:p>
        </w:tc>
        <w:tc>
          <w:tcPr>
            <w:tcW w:w="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EE"/>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Non-Employee Director Compensation</w:t>
            </w:r>
          </w:p>
        </w:tc>
        <w:tc>
          <w:tcPr>
            <w:tcW w:w="4660" w:type="dxa"/>
            <w:vAlign w:val="bottom"/>
            <w:tcBorders>
              <w:bottom w:val="single" w:sz="8" w:color="CCEEFF"/>
            </w:tcBorders>
            <w:gridSpan w:val="17"/>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60" w:type="dxa"/>
            <w:vAlign w:val="bottom"/>
          </w:tcPr>
          <w:p>
            <w:pPr>
              <w:spacing w:after="0"/>
              <w:rPr>
                <w:sz w:val="21"/>
                <w:szCs w:val="21"/>
                <w:color w:val="auto"/>
              </w:rPr>
            </w:pPr>
          </w:p>
        </w:tc>
      </w:tr>
      <w:tr>
        <w:trPr>
          <w:trHeight w:val="250"/>
        </w:trPr>
        <w:tc>
          <w:tcPr>
            <w:tcW w:w="78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60" w:type="dxa"/>
            <w:vAlign w:val="bottom"/>
          </w:tcPr>
          <w:p>
            <w:pPr>
              <w:spacing w:after="0"/>
              <w:rPr>
                <w:sz w:val="21"/>
                <w:szCs w:val="21"/>
                <w:color w:val="auto"/>
              </w:rPr>
            </w:pPr>
          </w:p>
        </w:tc>
      </w:tr>
      <w:tr>
        <w:trPr>
          <w:trHeight w:val="243"/>
        </w:trPr>
        <w:tc>
          <w:tcPr>
            <w:tcW w:w="180" w:type="dxa"/>
            <w:vAlign w:val="bottom"/>
            <w:tcBorders>
              <w:top w:val="single" w:sz="8" w:color="0000EE"/>
            </w:tcBorders>
            <w:shd w:val="clear" w:color="auto" w:fill="CCEEFF"/>
          </w:tcPr>
          <w:p>
            <w:pPr>
              <w:spacing w:after="0"/>
              <w:rPr>
                <w:sz w:val="21"/>
                <w:szCs w:val="21"/>
                <w:color w:val="auto"/>
              </w:rPr>
            </w:pPr>
          </w:p>
        </w:tc>
        <w:tc>
          <w:tcPr>
            <w:tcW w:w="5600" w:type="dxa"/>
            <w:vAlign w:val="bottom"/>
            <w:tcBorders>
              <w:top w:val="single" w:sz="8" w:color="0000EE"/>
            </w:tcBorders>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Related Party Transactions</w:t>
            </w:r>
          </w:p>
        </w:tc>
        <w:tc>
          <w:tcPr>
            <w:tcW w:w="2020" w:type="dxa"/>
            <w:vAlign w:val="bottom"/>
            <w:gridSpan w:val="5"/>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tcBorders>
              <w:top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c>
          <w:tcPr>
            <w:tcW w:w="60" w:type="dxa"/>
            <w:vAlign w:val="bottom"/>
          </w:tcPr>
          <w:p>
            <w:pPr>
              <w:spacing w:after="0"/>
              <w:rPr>
                <w:sz w:val="21"/>
                <w:szCs w:val="21"/>
                <w:color w:val="auto"/>
              </w:rPr>
            </w:pPr>
          </w:p>
        </w:tc>
      </w:tr>
      <w:tr>
        <w:trPr>
          <w:trHeight w:val="27"/>
        </w:trPr>
        <w:tc>
          <w:tcPr>
            <w:tcW w:w="18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43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Limitations on Liability and Indemnification Agreements</w:t>
            </w:r>
          </w:p>
        </w:tc>
        <w:tc>
          <w:tcPr>
            <w:tcW w:w="3280" w:type="dxa"/>
            <w:vAlign w:val="bottom"/>
            <w:gridSpan w:val="10"/>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0000EE"/>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Related Person Transactions Policy and Procedures</w:t>
            </w:r>
          </w:p>
        </w:tc>
        <w:tc>
          <w:tcPr>
            <w:tcW w:w="3740" w:type="dxa"/>
            <w:vAlign w:val="bottom"/>
            <w:tcBorders>
              <w:bottom w:val="single" w:sz="8" w:color="CCEEFF"/>
            </w:tcBorders>
            <w:gridSpan w:val="11"/>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c>
          <w:tcPr>
            <w:tcW w:w="60" w:type="dxa"/>
            <w:vAlign w:val="bottom"/>
          </w:tcPr>
          <w:p>
            <w:pPr>
              <w:spacing w:after="0"/>
              <w:rPr>
                <w:sz w:val="21"/>
                <w:szCs w:val="21"/>
                <w:color w:val="auto"/>
              </w:rPr>
            </w:pPr>
          </w:p>
        </w:tc>
      </w:tr>
      <w:tr>
        <w:trPr>
          <w:trHeight w:val="250"/>
        </w:trPr>
        <w:tc>
          <w:tcPr>
            <w:tcW w:w="35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4280" w:type="dxa"/>
            <w:vAlign w:val="bottom"/>
            <w:gridSpan w:val="15"/>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c>
          <w:tcPr>
            <w:tcW w:w="60" w:type="dxa"/>
            <w:vAlign w:val="bottom"/>
          </w:tcPr>
          <w:p>
            <w:pPr>
              <w:spacing w:after="0"/>
              <w:rPr>
                <w:sz w:val="21"/>
                <w:szCs w:val="21"/>
                <w:color w:val="auto"/>
              </w:rPr>
            </w:pPr>
          </w:p>
        </w:tc>
      </w:tr>
      <w:tr>
        <w:trPr>
          <w:trHeight w:val="250"/>
        </w:trPr>
        <w:tc>
          <w:tcPr>
            <w:tcW w:w="192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ADDITIONAL FILINGS</w:t>
            </w:r>
          </w:p>
        </w:tc>
        <w:tc>
          <w:tcPr>
            <w:tcW w:w="5880" w:type="dxa"/>
            <w:vAlign w:val="bottom"/>
            <w:tcBorders>
              <w:bottom w:val="single" w:sz="8" w:color="CCEEFF"/>
            </w:tcBorders>
            <w:gridSpan w:val="27"/>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c>
          <w:tcPr>
            <w:tcW w:w="60" w:type="dxa"/>
            <w:vAlign w:val="bottom"/>
          </w:tcPr>
          <w:p>
            <w:pPr>
              <w:spacing w:after="0"/>
              <w:rPr>
                <w:sz w:val="21"/>
                <w:szCs w:val="21"/>
                <w:color w:val="auto"/>
              </w:rPr>
            </w:pPr>
          </w:p>
        </w:tc>
      </w:tr>
      <w:tr>
        <w:trPr>
          <w:trHeight w:val="243"/>
        </w:trPr>
        <w:tc>
          <w:tcPr>
            <w:tcW w:w="1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280" w:type="dxa"/>
            <w:vAlign w:val="bottom"/>
            <w:gridSpan w:val="31"/>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c>
          <w:tcPr>
            <w:tcW w:w="60" w:type="dxa"/>
            <w:vAlign w:val="bottom"/>
          </w:tcPr>
          <w:p>
            <w:pPr>
              <w:spacing w:after="0"/>
              <w:rPr>
                <w:sz w:val="21"/>
                <w:szCs w:val="21"/>
                <w:color w:val="auto"/>
              </w:rPr>
            </w:pPr>
          </w:p>
        </w:tc>
      </w:tr>
    </w:tbl>
    <w:p>
      <w:pPr>
        <w:spacing w:after="0" w:line="40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509905</wp:posOffset>
            </wp:positionV>
            <wp:extent cx="1962785"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27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purpose of these Proxy Materials?</w:t>
      </w:r>
    </w:p>
    <w:p>
      <w:pPr>
        <w:spacing w:after="0" w:line="14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are making these proxy materials available to you in connection with the solicitation of proxies by the Board of Directors (the “Board”) of Alumis, Inc. (“we,” “us,” “our” or the “Company”) for use at the 2026 Annual Meeting of Stockholders (the “Annual Meeting”) to be held virtually on June 30, 2026 at 9:00 a.m. Pacific Time, or at any other time following adjournment or postponement thereof.</w:t>
      </w:r>
    </w:p>
    <w:p>
      <w:pPr>
        <w:spacing w:after="0" w:line="11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You are invited to participate in the Annual Meeting and to vote on the proposals described in this proxy statement (the “Proxy Statement”). The proxy materials are first being made available to our stockholders on or about May 18, 2026.</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are furnishing the proxy materials to our stockholders primarily via the internet instead of mailing printed copies. This process allows us to expedite our stockholders’ receipt of proxy materials, lower the costs of printing and mailing the proxy materials and reduce the environmental impact of our Annual Meeting.</w:t>
      </w:r>
    </w:p>
    <w:p>
      <w:pPr>
        <w:spacing w:after="0" w:line="9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If you received a Notice of Internet Availability of Proxy Materials (the “Notice”), you will not receive a printed copy of the proxy materials unless you request one. The Notice provides instructions on how to access the proxy materials for the Annual Meeting via the Internet, how to request a printed set of proxy materials and how to vote your shares.</w:t>
      </w:r>
    </w:p>
    <w:p>
      <w:pPr>
        <w:spacing w:after="0" w:line="11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Please note that, while our proxy materials are available at the website referenced herein and in the Notice, and our Notice of Annual Meeting, Proxy Statement and Annual Report are available on our website, all references to websites are inactive textual references only and no other information or content contained on our website or the other websites referenced herein is incorporated by reference in or considered to be a part of this document.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you receive a Notice, you will not receive any other proxy materials by mail unless you request, or had previously requested, a paper copy of proxy materials. All stockholders will have the ability to access the proxy materials on the website referred to in the Notice, or request to receive a printed set of the proxy materials. You may request a printed set of the proxy materials be sent to your specified postal address for the Annual Meeting, by (i) visiting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(ii) calling 1-800-579-1639 or (iii) sending an email to sendmaterial@proxyvote.com. Please have your proxy card or Notice in hand when you access the website or call and follow the instructions provided or, if sending an email, please include your control number (discussed below) in the subject line.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two matters scheduled for a vote at our 2026 Annual Meeting:</w:t>
      </w:r>
    </w:p>
    <w:p>
      <w:pPr>
        <w:spacing w:after="0" w:line="131"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Class II directors (Proposal 1);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as our independent auditor for the fiscal year ending December 31, 2026 (Proposal 2).</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does the Board recommend I vote on these matters?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recommends a vote:</w:t>
      </w:r>
    </w:p>
    <w:p>
      <w:pPr>
        <w:spacing w:after="0" w:line="104" w:lineRule="exact"/>
        <w:rPr>
          <w:sz w:val="20"/>
          <w:szCs w:val="20"/>
          <w:color w:val="auto"/>
        </w:rPr>
      </w:pPr>
    </w:p>
    <w:p>
      <w:pPr>
        <w:ind w:left="1800" w:right="8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James B. Tananbaum, Lynn Tetrault and Zhengbin (Bing) Yao as Class II directors; and</w:t>
      </w:r>
    </w:p>
    <w:p>
      <w:pPr>
        <w:spacing w:after="0" w:line="1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PricewaterhouseCoopers LLP as our independent auditor for our fiscal year ending December 31, 2026.</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Are We Holding a Virtual Annual Meeting?</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have adopted a virtual meeting format for the Annual Meeting to provide a consistent experience to all stockholders regardless of geographic location. We believe this expands stockholder access, improves communications and lowers our costs while reducing the environmental impact of the meeting. Our goal is to enhance rather than constrain stockholder participation in the meeting, and we have designed the meeting to provide stockholders with the same opportunities to participate as they would have at an in-person meeting.</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will be held through a live webcast at </w:t>
      </w:r>
      <w:r>
        <w:rPr>
          <w:rFonts w:ascii="Times New Roman" w:cs="Times New Roman" w:eastAsia="Times New Roman" w:hAnsi="Times New Roman"/>
          <w:sz w:val="18"/>
          <w:szCs w:val="18"/>
          <w:i w:val="1"/>
          <w:iCs w:val="1"/>
          <w:color w:val="auto"/>
        </w:rPr>
        <w:t>www.virtualshareholdermeeting.com/ALMS2026</w:t>
      </w:r>
      <w:r>
        <w:rPr>
          <w:rFonts w:ascii="Times New Roman" w:cs="Times New Roman" w:eastAsia="Times New Roman" w:hAnsi="Times New Roman"/>
          <w:sz w:val="18"/>
          <w:szCs w:val="18"/>
          <w:color w:val="auto"/>
        </w:rPr>
        <w:t>. There is no physical meeting location, and thus you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able to attend the Annual Meeting in person.​</w:t>
      </w:r>
    </w:p>
    <w:p>
      <w:pPr>
        <w:spacing w:after="0" w:line="10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You are entitled to attend the Annual Meeting if you were a stockholder of record as of the close of business on May 5, 2026, the record date, or hold a valid proxy for the Annual Meeting. To be admitted to the Annual Meeting, you will need to visit </w:t>
      </w:r>
      <w:r>
        <w:rPr>
          <w:rFonts w:ascii="Times New Roman" w:cs="Times New Roman" w:eastAsia="Times New Roman" w:hAnsi="Times New Roman"/>
          <w:sz w:val="18"/>
          <w:szCs w:val="18"/>
          <w:i w:val="1"/>
          <w:iCs w:val="1"/>
          <w:color w:val="auto"/>
        </w:rPr>
        <w:t>www.virtualshareholdermeeting.com/ALMS2026</w:t>
      </w:r>
      <w:r>
        <w:rPr>
          <w:rFonts w:ascii="Times New Roman" w:cs="Times New Roman" w:eastAsia="Times New Roman" w:hAnsi="Times New Roman"/>
          <w:sz w:val="18"/>
          <w:szCs w:val="18"/>
          <w:color w:val="auto"/>
        </w:rPr>
        <w:t xml:space="preserve"> and enter the 16-digit Control Number found next to the label “Control Number” on your Notice, proxy card or voting instruction form.</w:t>
      </w:r>
    </w:p>
    <w:p>
      <w:pPr>
        <w:spacing w:after="0" w:line="114"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 Please refer to the Q&amp;A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below for further details.</w:t>
      </w:r>
    </w:p>
    <w:p>
      <w:pPr>
        <w:spacing w:after="0" w:line="9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If you attend the Annual Meeting via live webcast with a Control Number, you will be able to vote at the meeting and submit questions. We encourage you to access the Annual Meeting before it begins. Online check-in will start approximately 15 minutes before the meeting on Tuesday, June 30, 2026.</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5, 2026 will be entitled to vote at the Annual Meeting. On the record date, there were 123,432,072 shares of voting common stock (referred to in this Proxy Statement as “common stock”) outstanding and entitled to vote.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If on May 5, 2026 your shares were registered directly in your name with Alumis’ transfer agent, Equiniti Trust Company, LLC, then you are a stockholder of record. As a stockholder of record, you may vote online at the Annual Meeting or vote in advance by proxy. Whether or not you plan to attend the Annual Meeting, to ensure your vote is counted, we urge you to vote by proxy over the telephone, vote by proxy through the internet or vote by proxy using a proxy card that you may request or that we may elect to deliver at a later time.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60"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If on May 5, 2026 your shares were held, not in your name, but rather in an account at a brokerage firm, bank or other similar organization, then you are the beneficial owner of shares held in “street name”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 xml:space="preserve">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and may access the meeting and vote by entering your Control Number at </w:t>
      </w:r>
      <w:r>
        <w:rPr>
          <w:rFonts w:ascii="Times New Roman" w:cs="Times New Roman" w:eastAsia="Times New Roman" w:hAnsi="Times New Roman"/>
          <w:sz w:val="18"/>
          <w:szCs w:val="18"/>
          <w:i w:val="1"/>
          <w:iCs w:val="1"/>
          <w:color w:val="auto"/>
        </w:rPr>
        <w:t>www.virtualshareholdermeeting.com/ALMS2026</w:t>
      </w:r>
      <w:r>
        <w:rPr>
          <w:rFonts w:ascii="Times New Roman" w:cs="Times New Roman" w:eastAsia="Times New Roman" w:hAnsi="Times New Roman"/>
          <w:sz w:val="18"/>
          <w:szCs w:val="18"/>
          <w:color w:val="auto"/>
        </w:rPr>
        <w:t xml:space="preserve"> . You may also vote prior to the Annual Meeting by entering the Control Number on your voting instruction form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Even if you plan to attend the Annual Meeting, we recommend that you submit your vote as early as possible in advance, so that your vote will be counted if you later decide not to, or are unable to, virtually attend the Annual Meeting. You may still attend, and vote during, the Annual Meeting even if you have already voted by proxy.</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For Proposal 1, you may either vote “For” all the nominees to the Board or you may “Withhold” your vote for any nominee you specify. For Proposal 2, you may vote “For” or “Against” or abstain from voting.</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If you are a stockholder of record, you may vote your shares online during the virtual Annual Meeting (see “How do I attend the Annual Meeting?” above), or vote in advance by proxy over the telephone, through the internet or, if you requested paper copies of the proxy materials, by completing and mailing a proxy card.</w:t>
      </w:r>
    </w:p>
    <w:p>
      <w:pPr>
        <w:spacing w:after="0" w:line="251" w:lineRule="exact"/>
        <w:rPr>
          <w:sz w:val="20"/>
          <w:szCs w:val="20"/>
          <w:color w:val="auto"/>
        </w:rPr>
      </w:pPr>
    </w:p>
    <w:p>
      <w:pPr>
        <w:jc w:val="both"/>
        <w:ind w:left="1800" w:right="579" w:hanging="180"/>
        <w:spacing w:after="0" w:line="26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during</w:t>
      </w:r>
      <w:r>
        <w:rPr>
          <w:rFonts w:ascii="Times New Roman" w:cs="Times New Roman" w:eastAsia="Times New Roman" w:hAnsi="Times New Roman"/>
          <w:sz w:val="18"/>
          <w:szCs w:val="18"/>
          <w:color w:val="auto"/>
        </w:rPr>
        <w:t xml:space="preserve"> the Annual Meeting, if you are a stockholder of record as of the record date, follow the instructions at </w:t>
      </w:r>
      <w:r>
        <w:rPr>
          <w:rFonts w:ascii="Times New Roman" w:cs="Times New Roman" w:eastAsia="Times New Roman" w:hAnsi="Times New Roman"/>
          <w:sz w:val="18"/>
          <w:szCs w:val="18"/>
          <w:i w:val="1"/>
          <w:iCs w:val="1"/>
          <w:color w:val="auto"/>
        </w:rPr>
        <w:t>www.virtualshareholdermeeting.com/ALMS2026</w:t>
      </w:r>
      <w:r>
        <w:rPr>
          <w:rFonts w:ascii="Times New Roman" w:cs="Times New Roman" w:eastAsia="Times New Roman" w:hAnsi="Times New Roman"/>
          <w:sz w:val="18"/>
          <w:szCs w:val="18"/>
          <w:color w:val="auto"/>
        </w:rPr>
        <w:t>. You will need to login with the 16-digit Control Number found on your Notice or proxy card.</w:t>
      </w:r>
    </w:p>
    <w:p>
      <w:pPr>
        <w:spacing w:after="0" w:line="22" w:lineRule="exact"/>
        <w:rPr>
          <w:rFonts w:ascii="Times New Roman" w:cs="Times New Roman" w:eastAsia="Times New Roman" w:hAnsi="Times New Roman"/>
          <w:sz w:val="18"/>
          <w:szCs w:val="18"/>
          <w:color w:val="auto"/>
        </w:rPr>
      </w:pPr>
    </w:p>
    <w:p>
      <w:pPr>
        <w:ind w:left="1800" w:right="439" w:hanging="180"/>
        <w:spacing w:after="0" w:line="26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prior to</w:t>
      </w:r>
      <w:r>
        <w:rPr>
          <w:rFonts w:ascii="Times New Roman" w:cs="Times New Roman" w:eastAsia="Times New Roman" w:hAnsi="Times New Roman"/>
          <w:sz w:val="18"/>
          <w:szCs w:val="18"/>
          <w:color w:val="auto"/>
        </w:rPr>
        <w:t xml:space="preserve"> the Annual Meeting (until 11:59 p.m. Eastern Time on June 29, 2026), you may vote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by telephone; or by completing and returning your proxy card or voting instruction form, as described below.</w:t>
      </w:r>
    </w:p>
    <w:p>
      <w:pPr>
        <w:spacing w:after="0" w:line="37"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prior to the Annual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follow the instructions to submit your vote on an electronic proxy card. You will be asked to provide the company number and Control Number from the Notice or proxy card. Your internet vote must be received by 11:59 p.m. Eastern Time on June 29, 2026 to be counted.</w:t>
      </w:r>
    </w:p>
    <w:p>
      <w:pPr>
        <w:spacing w:after="0" w:line="3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the number provided on the Notice or proxy card using a touch-tone phone and follow the recorded instructions. You will be asked to provide our company name and your Control Number from your Notice or proxy card. Your telephone vote must be received by 11:59 p.m. Eastern Time on June 29, 2026 to be counted.</w:t>
      </w:r>
    </w:p>
    <w:p>
      <w:pPr>
        <w:spacing w:after="0" w:line="31"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that may be requested, simply complete, sign and date the proxy card and return it promptly in the envelope provided. If you return your signed proxy card to us before the Annual Meeting, we will vote your shares as you direct.</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If you are the beneficial owner of shares registered in the name of your broker, bank or other custodian, you may vote your shares online during the virtual Annual Meeting (see “How do I attend the Annual Meeting?” above), or you may direct your broker, bank or custodian how to vote by following the voting instruction form they provide you directly. To vote </w:t>
      </w:r>
      <w:r>
        <w:rPr>
          <w:rFonts w:ascii="Times New Roman" w:cs="Times New Roman" w:eastAsia="Times New Roman" w:hAnsi="Times New Roman"/>
          <w:sz w:val="18"/>
          <w:szCs w:val="18"/>
          <w:b w:val="1"/>
          <w:bCs w:val="1"/>
          <w:i w:val="1"/>
          <w:iCs w:val="1"/>
          <w:color w:val="auto"/>
        </w:rPr>
        <w:t>during</w:t>
      </w:r>
      <w:r>
        <w:rPr>
          <w:rFonts w:ascii="Times New Roman" w:cs="Times New Roman" w:eastAsia="Times New Roman" w:hAnsi="Times New Roman"/>
          <w:sz w:val="18"/>
          <w:szCs w:val="18"/>
          <w:color w:val="auto"/>
        </w:rPr>
        <w:t xml:space="preserve"> the Annual Meeting, follow the instructions at </w:t>
      </w:r>
      <w:r>
        <w:rPr>
          <w:rFonts w:ascii="Times New Roman" w:cs="Times New Roman" w:eastAsia="Times New Roman" w:hAnsi="Times New Roman"/>
          <w:sz w:val="18"/>
          <w:szCs w:val="18"/>
          <w:i w:val="1"/>
          <w:iCs w:val="1"/>
          <w:color w:val="auto"/>
        </w:rPr>
        <w:t>www.virtualshareholdermeeting.com/ALMS2026</w:t>
      </w:r>
      <w:r>
        <w:rPr>
          <w:rFonts w:ascii="Times New Roman" w:cs="Times New Roman" w:eastAsia="Times New Roman" w:hAnsi="Times New Roman"/>
          <w:sz w:val="18"/>
          <w:szCs w:val="18"/>
          <w:color w:val="auto"/>
        </w:rPr>
        <w:t>. You will need to log in with your Control Number found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your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5212080"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651510"/>
                    </a:xfrm>
                    <a:prstGeom prst="rect">
                      <a:avLst/>
                    </a:prstGeom>
                    <a:noFill/>
                  </pic:spPr>
                </pic:pic>
              </a:graphicData>
            </a:graphic>
          </wp:anchor>
        </w:drawing>
      </w:r>
    </w:p>
    <w:p>
      <w:pPr>
        <w:spacing w:after="0" w:line="196" w:lineRule="exact"/>
        <w:rPr>
          <w:sz w:val="20"/>
          <w:szCs w:val="20"/>
          <w:color w:val="auto"/>
        </w:rPr>
      </w:pPr>
    </w:p>
    <w:p>
      <w:pPr>
        <w:ind w:left="1360" w:right="73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May 5, 2026.</w:t>
      </w:r>
    </w:p>
    <w:p>
      <w:pPr>
        <w:spacing w:after="0" w:line="158"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91"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at the Annual Meeting, your shares will not be voted.</w:t>
      </w:r>
    </w:p>
    <w:p>
      <w:pPr>
        <w:spacing w:after="0" w:line="81"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“For” the election of all of the nominees for director and “For” the ratification of the appointment of PricewaterhouseCoopers LLP as our independent auditor for the fiscal year ending December 31, 2026. If any other matter is properly presented at the meeting, your proxyholder will vote your shares using his or her best judgment.</w:t>
      </w:r>
    </w:p>
    <w:p>
      <w:pPr>
        <w:spacing w:after="0" w:line="179"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bank, or agent with voting instructions, what happens?</w:t>
      </w:r>
    </w:p>
    <w:p>
      <w:pPr>
        <w:spacing w:after="0" w:line="9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All brokers registered as members with the NYSE are subject to NYSE rules and, accordingly, the NYSE rules apply to the voting of all shares held in a brokerage account, including shares of a company like ours listed on the Nasdaq Stock Market (“Nasdaq”).</w:t>
      </w:r>
    </w:p>
    <w:p>
      <w:pPr>
        <w:spacing w:after="0" w:line="124"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this regard, Proposal 1 is considered to be “non-routine” under such rules, meaning that your broker may not vote your shares on this proposal in the absence of your voting instructions. However, Proposal 2 is considered to be a “routine” matter under such rules, meaning that if you do not return voting instructions to your broker by its deadline, your shares may be voted by your broker in its discretion on Proposal 2.</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46" w:lineRule="exact"/>
        <w:rPr>
          <w:sz w:val="20"/>
          <w:szCs w:val="20"/>
          <w:color w:val="auto"/>
        </w:rPr>
      </w:pPr>
    </w:p>
    <w:p>
      <w:pPr>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For the ten days ending </w:t>
      </w:r>
      <w:r>
        <w:rPr>
          <w:rFonts w:ascii="Times New Roman" w:cs="Times New Roman" w:eastAsia="Times New Roman" w:hAnsi="Times New Roman"/>
          <w:sz w:val="18"/>
          <w:szCs w:val="18"/>
          <w:i w:val="1"/>
          <w:iCs w:val="1"/>
          <w:color w:val="auto"/>
        </w:rPr>
        <w:t>the day prior to</w:t>
      </w:r>
      <w:r>
        <w:rPr>
          <w:rFonts w:ascii="Times New Roman" w:cs="Times New Roman" w:eastAsia="Times New Roman" w:hAnsi="Times New Roman"/>
          <w:sz w:val="18"/>
          <w:szCs w:val="18"/>
          <w:color w:val="auto"/>
        </w:rPr>
        <w:t xml:space="preserve"> the Annual Meeting, a list of our stockholders of record as of the close of business on the record date will be available for examination by any stockholders of record for a legally valid purpose at our corporate headquarters during regular business hours.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get technical assistance?</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accessing the Annual Meeting during the check-in or meeting time, please call the technical support number that will be posted on the virtual meeting login page.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 the Annual Meeting, how do I ask questions of management and the Board?</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 xml:space="preserve">We plan to have a Q&amp;A session at the Annual Meeting and include stockholder questions relevant to our business. If you are a stockholder of record as of the record date, you may submit questions during the Annual Meeting after logging in with your Control Number through </w:t>
      </w:r>
      <w:r>
        <w:rPr>
          <w:rFonts w:ascii="Times New Roman" w:cs="Times New Roman" w:eastAsia="Times New Roman" w:hAnsi="Times New Roman"/>
          <w:sz w:val="18"/>
          <w:szCs w:val="18"/>
          <w:i w:val="1"/>
          <w:iCs w:val="1"/>
          <w:color w:val="auto"/>
        </w:rPr>
        <w:t>www.virtualshareholdermeeting.com/ALMS2026</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48"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62"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all Notices to ensure that all of your shares are voted.</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54"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dated with a later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Alumis’ Corporate Secretary at 280 East Grand Avenue, South San Francisco, CA 94080. Such notice will be considered timely if it is received at the indicated address by the close of business on the business day one week preceding the date of the Annual Meeting.</w:t>
      </w:r>
    </w:p>
    <w:p>
      <w:pPr>
        <w:spacing w:after="0" w:line="71"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online during the Annual Meeting. Simply attending the Annual Meeting without voting will not, by itself, revoke your proxy.</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to you by your broker, bank or other agent.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 of stockholders?</w:t>
      </w:r>
    </w:p>
    <w:p>
      <w:pPr>
        <w:spacing w:after="0" w:line="148"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Our stockholders may submit proposals on matters appropriate for stockholder action at annual stockholder meetings in accordance with Rule 14a -8 promulgated under the Securities Exchange Act of 1934, as amended (the “Exchange Act”). For such proposals to be included in our proxy materials relating to our 2027 Annual Meeting of Stockholders (the “2027 Annual Meeting”), all applicable requirements of Rule 14a-8 must be satisfied and your proposal must be submitted in writing by January 18, 2027 to our Corporate Secretary at 280 East Grand Avenue, South San Francisco, CA 94080.</w:t>
      </w:r>
    </w:p>
    <w:p>
      <w:pPr>
        <w:spacing w:after="0" w:line="11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However, if the 2027 Annual Meeting is not held between May 31, 2027 and July 30, 2027, then the deadline will be a reasonable time prior to the time that we begin to print and mail our proxy materials.</w:t>
      </w:r>
    </w:p>
    <w:p>
      <w:pPr>
        <w:spacing w:after="0" w:line="9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you wish to submit a proposal or nominate a director at the 2027 Annual Meeting but you are not requesting that your proposal or nomination be included in our proxy materials for the 2027 Annual Meeting pursuant to Rule 14a-8 of the Exchange Act, your proposal or nomination must be delivered to and received by our Corporate Secretary, in writing, at 280 East Grand Avenue, South San Francisco, CA 94080 not later than the close of business on April 1, 2027 nor earlier than March 2, 2027. However, if the 2027 Annual Meeting is not held between May 31, 2027 and July 30, 2027, then your proposal or nomination must be delivered to and received by the Company’s Corporate Secretary, in writing, not earlier than the 120th day prior to the 2027 Annual Meeting and not later than the later of the close of business on the 90th day prior to the 2027 Annual Meeting or the tenth day following the day on which public announcement of the date of the 2027 Annual Meeting is first made by us. We also advise you to review our bylaws, which contain additional requirements about advance notice of stockholder proposals and director nominations. The chairperson of the 2027 Annual Meeting may determine, if the facts warrant, that a matter has not been properly brought before the 2027 Annual Meeting and, therefore, may not be considered at the 2027 Annual Meeting. In addition, as to any proposal that a stockholder intends to present at the 2027 Annual Meeting (other than by inclusion in our proxy materials for the 2027 Annual Meeting pursuant to Rule 14a-8 of the Exchange Act), the proxy solicited by our Board for the 2027 Annual Meeting will confer discretionary</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voting authority with respect to (i) any proposal for which we have not been provided with timely notice pursuant to our bylaws and (ii) any proposal for which we have been provided with timely notice pursuant to our bylaws, unless the stockholder solicits proxies with respect to the proposal to the extent required by Rule 14a-4(c)(2) of the Exchange Act. A stockholder who intends to solicit proxies in support of director nominees other than the Company’s nominees at the 2027 Annual Meeting must deliver written notice to the Company setting forth the information required by Rule 14a-19 of the Exchange Act. If such written notice is not timely received or does not satisfy these additional information requirements, the notice will not be considered properly submitted and will not be acted upon at the 2027 Annual Meeting.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Proposal 1 to elect directors, votes “For,” “Withhold,” and broker non-votes; and, for Proposal 2 to ratify the appointment of our independent auditor, votes “For” and “Against,” abstentions and, if applicable, broker non-votes. Abstentions and broker non-votes will have no effect and will not be counted towards the vote total for any proposal.</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Representatives of Broadridge Financial Solutions, Inc. will tabulate the votes and act as inspectors of election.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with respect to “non-routine” matters are counted as “broker non-votes.” Proposal 1 is considered to be “non-routine” under NYSE stock exchange rules, and we therefore expect some broker non-votes on this proposal.</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For Proposal 1, the election of directors, the three nominees receiving the most “For” votes from the holders of shares present in person, by remote communication, if applicable, or represented by proxy and entitled to vote on the election of directors will be elected. Only votes “For” will affect the outcome of the vote. “Withhold” votes and broker non-votes will each have no effect on the outcome.</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To be approved, Proposal 2, the ratification of the appointment of PricewaterhouseCoopers LLP as our independent auditor for the fiscal year ending December 31, 2026, requires the affirmative vote of the holders of a majority of the voting power of the shares present in person, by remote communication, if applicable, or represented by proxy at the meeting and voting affirmatively or negatively (excluding abstentions and broker non-votes). Accordingly, abstentions will have no effect on Proposal 2. Since brokers have the authority to vote on your behalf with respect to Proposal 2 as a “routine” matter, we do not expect broker non-votes on Proposal 2.</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are present at the Annual Meeting virtually or represented by proxy. On the record date, there were 123,432,072 shares of common stock outstanding and entitled to vote. Thus, the holders of 61,716,037 shares of common stock must be present in person or virtually or represented by proxy at the Annual Meeting to have a quorum.</w:t>
      </w:r>
    </w:p>
    <w:p>
      <w:pPr>
        <w:spacing w:after="0" w:line="336"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chairperson of the Annual Meeting or the holders of a majority of the voting power of the shares present at the Annual Meeting or represented by proxy may adjourn the Annual Meeting to another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62"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 the SEC within four business days after the Annual Meeting. If final voting results are not available to us within four business days after the meeting, we intend to first file a Form 8-K publishing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the terms of office of the respective classes expiring in successive years. Vacancies on the Board may only be filled by the affirmative vote of a majority of the remaining directors then in office, and not by our stockholders. A director elected by the Board to fill a vacancy in a class, including vacancies created by an increase in the number of directors, shall serve for the remainder of the full term of that class and until the director’s successor is duly elected and qualified or such director’s earlier death, resignation or removal.</w:t>
      </w:r>
    </w:p>
    <w:p>
      <w:pPr>
        <w:spacing w:after="0" w:line="114"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Board presently has eight members. There are three directors in Class II whose term of office expires at the Annual Meeting: Dr. Tananbaum, Ms. Tetrault and Dr. Yao. Dr. Tananbaum and Dr. Yao were each originally elected as a member of our Board prior to our initial public offering (“IPO”) pursuant to a voting agreement entered into with certain of our stockholders that then terminated in July 2024 upon completion of our IPO. Ms. Tetrault has not previously been elected by our stockholders. Ms. Tetrault, who previously served as a member of the board of directors of ACELYRIN, Inc, was appointed to the Board pursuant to the Agreement and Plan of Merger with ACELYRIN, Inc. (the “Merger Agreement”).</w:t>
      </w:r>
    </w:p>
    <w:p>
      <w:pPr>
        <w:spacing w:after="0" w:line="11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Each nominee has been nominated for re-election by the Board, at the recommendation of the Nominating and Corporate Governance Committee of the Board. If elected at the Annual Meeting, each of these nominees would serve until the 2029 Annual Meeting and until his or her successor has been duly elected and qualified or, if sooner, until the director’s death, resignation or removal.</w:t>
      </w:r>
    </w:p>
    <w:p>
      <w:pPr>
        <w:spacing w:after="0" w:line="110"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at the Annual Meeting or represented by proxy and entitled to vote on the election of directors.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represented by proxy may be voted for the election of a substitute nominee proposed by our Board. Each person nominated for election has agreed to serve if elected. Our management has no reason to believe that any nominee will be unable to serve.</w:t>
      </w:r>
    </w:p>
    <w:p>
      <w:pPr>
        <w:spacing w:after="0" w:line="119"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encourage our Board, including each nominee for director, to attend our annual meeting. All of our then-current directors attended the 2025 Annual Meeting of Stockholders, except Patrick Machado.</w:t>
      </w:r>
    </w:p>
    <w:p>
      <w:pPr>
        <w:spacing w:after="0" w:line="10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The Board monitors the mix of skills and experience of its directors to help ensure it has the necessary tools to perform its oversight function effectively. The Board fully appreciates the value of a diversity of viewpoints, background and experiences as important to the selection of directors to enhance the Board’s cognitive diversity and quality of dialogue in the boardroom. The brief biographies below include information, as of May 18, 2026, regarding the specific and particular experience, qualifications, attributes or skills of each director or nominee that led the Nominating and Corporate Governance Committee to believe that that nominee should continue to serve on the Board. However, each of the members of the Nominating and Corporate Governance Committee may have a variety of reasons why he or she believes a particular person would be an appropriate nominee for the Board, and these views may differ from the views of other members. The Nominating and Corporate Governance Committee will evaluate director candidates recommended by stockholders in the same manner in which the Nominating and Corporate Governance Committee evaluates any other director candidate.</w:t>
      </w:r>
    </w:p>
    <w:p>
      <w:pPr>
        <w:spacing w:after="0" w:line="327"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Our Board undertakes a self-evaluation process to critically evaluate its performance and effectiveness. Additionally, each committee conducts a self-evaluation to monitor its performance and effectiveness. The</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process is coordinated by the Nominating and Corporate Governance Committee. Board members are asked to provide commentary regarding a variety of topics, including the following: overall Board performance, including oversight of strategy, challenges and opportunities; Board culture, effectiveness and accountability; Board composition and committee structure and performance; Board meeting logistics and materials, including access to management, external resources and experts; risk oversight; and succession planning. In addition, committee members are also asked to provide commentary regarding, among other things, their respective committee’s effectiveness in addressing matters delegated to it in its charter; committee composition and committee meeting logistics and materials. The results of the evaluations are aggregated and summarized and discussed at Board and committee meetings. As part of the review of the results of the evaluations for 2025, the Board concluded that the Board and its committees are operating effectively.</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Nominees to the Board of Directors</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nominees and their ages as of May 18, 2026, the class in which they are being nominated, Board committee memberships and length of Board service are provided in the table below. Additional biographical descriptions of each nominee are set forth in the text below the table. These descriptions include the primary individual experience, qualifications, qualities and skills of each of our nominees that led to the conclusion that each director should serve as a member of our Board at this time.</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Director Nominee</w:t>
            </w:r>
          </w:p>
        </w:tc>
        <w:tc>
          <w:tcPr>
            <w:tcW w:w="5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Class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Director Since</w:t>
            </w:r>
          </w:p>
        </w:tc>
      </w:tr>
      <w:tr>
        <w:trPr>
          <w:trHeight w:val="37"/>
        </w:trPr>
        <w:tc>
          <w:tcPr>
            <w:tcW w:w="50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77"/>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 Tananbaum, M.D.</w:t>
            </w:r>
            <w:r>
              <w:rPr>
                <w:rFonts w:ascii="Times New Roman" w:cs="Times New Roman" w:eastAsia="Times New Roman" w:hAnsi="Times New Roman"/>
                <w:sz w:val="23"/>
                <w:szCs w:val="23"/>
                <w:color w:val="auto"/>
                <w:vertAlign w:val="superscript"/>
              </w:rPr>
              <w:t>(1)(3)</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​63 ​</w:t>
            </w:r>
          </w:p>
        </w:tc>
        <w:tc>
          <w:tcPr>
            <w:tcW w:w="8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2021</w:t>
            </w:r>
          </w:p>
        </w:tc>
      </w:tr>
      <w:tr>
        <w:trPr>
          <w:trHeight w:val="28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 Tetrault, J.D.</w:t>
            </w:r>
            <w:r>
              <w:rPr>
                <w:rFonts w:ascii="Times New Roman" w:cs="Times New Roman" w:eastAsia="Times New Roman" w:hAnsi="Times New Roman"/>
                <w:sz w:val="23"/>
                <w:szCs w:val="23"/>
                <w:color w:val="auto"/>
                <w:vertAlign w:val="superscript"/>
              </w:rPr>
              <w:t>(1)</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​64 ​</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83"/>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Zhengbin (Bing) Yao, Ph.D.</w:t>
            </w:r>
            <w:r>
              <w:rPr>
                <w:rFonts w:ascii="Times New Roman" w:cs="Times New Roman" w:eastAsia="Times New Roman" w:hAnsi="Times New Roman"/>
                <w:sz w:val="23"/>
                <w:szCs w:val="23"/>
                <w:color w:val="auto"/>
                <w:vertAlign w:val="superscript"/>
              </w:rPr>
              <w:t>(2)(3)</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 ​</w:t>
            </w:r>
          </w:p>
        </w:tc>
        <w:tc>
          <w:tcPr>
            <w:tcW w:w="8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-548005</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-548005</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-548005</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-548005</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Science and Technology Committee.</w:t>
      </w:r>
    </w:p>
    <w:p>
      <w:pPr>
        <w:spacing w:after="0" w:line="15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B. Tananbaum, M.D. </w:t>
      </w:r>
      <w:r>
        <w:rPr>
          <w:rFonts w:ascii="Times New Roman" w:cs="Times New Roman" w:eastAsia="Times New Roman" w:hAnsi="Times New Roman"/>
          <w:sz w:val="18"/>
          <w:szCs w:val="18"/>
          <w:color w:val="auto"/>
        </w:rPr>
        <w:t>has served as a member of the Board since January 2021. Dr. Tananbaum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the President, Chief Executive Officer and a director of Foresite Capital Management, a U.S.-focused healthcare investment firm, which he founded in 2010. From 2000 to 2010, Dr. Tananbaum served as Co-Founder and Managing Director of Prospect Venture Partners L.P. II and III, healthcare venture partnerships. Dr. Tananbaum was also the co-founder of GelTex, Inc. in 1991, an intestinal medicine pharmaceutical company acquired by Sanofi-Genzyme, and Theravance, Inc. in 1997 (now Theravance Biopharma, Inc., a diversified biopharmaceutical company focused on organ selective medicines, and Innoviva, Inc., a respiratory focused healthcare asset management company partnered with Glaxo Group Limited). Dr. Tananbaum presently serves on the board of directors of Spear Bio, Inc., a private biotechnology company, among other companies. During the past five years, Dr. Tananbaum served on the boards of directors of Fabric Genomics, Inc., Quantum-SI Incorporated, Gemini Therapeutics, Inc., and Kinnate Biopharma Inc., among other companies. Dr. Tananbaum received an M.D. and an M.B.A. from Harvard University, and a B.S. and a B.S.E.E. from Yale University in Applied Math and Computer Science. We believe Dr. Tananbaum’s significant executive leadership experience and experience in the healthcare industry make him well qualified to serve as a member of the Board.</w:t>
      </w:r>
    </w:p>
    <w:p>
      <w:pPr>
        <w:spacing w:after="0" w:line="3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Lynn Tetrault, J.D. </w:t>
      </w:r>
      <w:r>
        <w:rPr>
          <w:rFonts w:ascii="Times New Roman" w:cs="Times New Roman" w:eastAsia="Times New Roman" w:hAnsi="Times New Roman"/>
          <w:sz w:val="18"/>
          <w:szCs w:val="18"/>
          <w:color w:val="auto"/>
        </w:rPr>
        <w:t>has served as a member of our Board since May 2025. Ms. Tetrault currently serves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Chair of the board of directors of NeoGenomics, Inc., and has been a member of its board of directors since June 2015. Ms. Tetrault has also served as a member of the board of directors of Rhythm Pharmaceuticals, Inc., a publicly traded biopharmaceutical company, since December 2020, and previously served as a member of the board of directors of ACELYRIN, Inc. from December 2023 until May 2025. Previously, Ms. Tetrault served in a variety of executive roles at AstraZeneca PLC from 1993 to 2014 including most recently as Executive Vice President of Human Resources and Corporate Affairs from 2007 to 2014. Ms. Tetrault has a B.A. from Princeton University and a J.D. from the University of Virginia Law School. We believe Ms. Tetrault’s decades of experience in the pharmaceutical industry makes her well qualified to serve as a member of our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Zhengbin (Bing) Yao, Ph.D. </w:t>
      </w:r>
      <w:r>
        <w:rPr>
          <w:rFonts w:ascii="Times New Roman" w:cs="Times New Roman" w:eastAsia="Times New Roman" w:hAnsi="Times New Roman"/>
          <w:sz w:val="18"/>
          <w:szCs w:val="18"/>
          <w:color w:val="auto"/>
        </w:rPr>
        <w:t>has served as a member of the Board since June 2021. From May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present, Dr. Yao served as the Chief Executive Officer and chairman of the board of directors of ArriVent Biopharma, a biotechnology company. From March 2018 to March 2021, Dr. Yao served as the Chief Executive Officer, President, and from January 2019 to March 2021 also as chairman of the board of directors of Viela Bio, Inc., a biotechnology company, until it was acquired by Horizon Therapeutics in March 2021. From October 2010 to February 2018, Dr. Yao served as Senior Vice President, Head of Respiratory, Inflammation, Autoimmune iMED at MedImmune, the biologics division of AstraZeneca plc and from October 2015 to February 2018 also as Senior Vice President, Head of Immuno-Oncology Franchise. From March 2008 to September 2010, Dr. Yao served as Head of PTL for Immunology, Infectious Diseases, Neuroscience, and Metabolic Disease at Genentech, Inc., a biopharmaceutical company. From October 2000 to September 2007, Dr. Yao held various leadership roles at Tanox Inc., a biopharmaceutical company, and was Vice President and Head of Research before it was acquired by Genentech, Inc. in 2007. Dr. Yao currently serves on the board of directors of Visen Pharmaceuticals, a public biopharmaceutical company, and Nikang Therapeutics, Inc., a private biotechnology company.</w:t>
      </w:r>
    </w:p>
    <w:p>
      <w:pPr>
        <w:spacing w:after="0" w:line="4"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Dr. Yao received his Ph.D. in Microbiology and Immunology from the University of Iowa and M.S. in Immunology from Anhui Medical University in Anhui, China. We believe Dr. Yao’s significant experience in the biopharmaceutical industry, particularly in autoimmune disease, and his experience serving as a chief executive officer of a publicly traded biotechnology company make him well qualified to serve as a member of the Board.</w:t>
      </w:r>
    </w:p>
    <w:p>
      <w:pPr>
        <w:spacing w:after="0" w:line="18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 A</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OMINEE</w:t>
      </w: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Continuing directors, and their ages as of May 18, 2026, the class in which they belong, committee memberships and length of Board service are provided in the table below. Additional biographical descriptions of each director are set forth in the text below the table.</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Director Nominee</w:t>
            </w:r>
          </w:p>
        </w:tc>
        <w:tc>
          <w:tcPr>
            <w:tcW w:w="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Director Since</w:t>
            </w:r>
          </w:p>
        </w:tc>
      </w:tr>
      <w:tr>
        <w:trPr>
          <w:trHeight w:val="37"/>
        </w:trPr>
        <w:tc>
          <w:tcPr>
            <w:tcW w:w="3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7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8"/>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Babler</w:t>
            </w:r>
          </w:p>
        </w:tc>
        <w:tc>
          <w:tcPr>
            <w:tcW w:w="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III</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2021</w:t>
            </w:r>
          </w:p>
        </w:tc>
      </w:tr>
      <w:tr>
        <w:trPr>
          <w:trHeight w:val="248"/>
        </w:trPr>
        <w:tc>
          <w:tcPr>
            <w:tcW w:w="3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9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Chairman of the Board</w:t>
            </w:r>
          </w:p>
        </w:tc>
        <w:tc>
          <w:tcPr>
            <w:tcW w:w="1220" w:type="dxa"/>
            <w:vAlign w:val="bottom"/>
            <w:shd w:val="clear" w:color="auto" w:fill="CCEEFF"/>
          </w:tcPr>
          <w:p>
            <w:pPr>
              <w:spacing w:after="0"/>
              <w:rPr>
                <w:sz w:val="21"/>
                <w:szCs w:val="21"/>
                <w:color w:val="auto"/>
              </w:rPr>
            </w:pPr>
          </w:p>
        </w:tc>
      </w:tr>
      <w:tr>
        <w:trPr>
          <w:trHeight w:val="28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B. Colowick, M.D., M.P.H.</w:t>
            </w:r>
            <w:r>
              <w:rPr>
                <w:rFonts w:ascii="Times New Roman" w:cs="Times New Roman" w:eastAsia="Times New Roman" w:hAnsi="Times New Roman"/>
                <w:sz w:val="23"/>
                <w:szCs w:val="23"/>
                <w:color w:val="auto"/>
                <w:vertAlign w:val="superscript"/>
              </w:rPr>
              <w:t>(1)(2)(4)</w:t>
            </w:r>
          </w:p>
        </w:tc>
        <w:tc>
          <w:tcPr>
            <w:tcW w:w="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III</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​64 ​ Director</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r>
      <w:tr>
        <w:trPr>
          <w:trHeight w:val="284"/>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Machado, J.D.</w:t>
            </w:r>
            <w:r>
              <w:rPr>
                <w:rFonts w:ascii="Times New Roman" w:cs="Times New Roman" w:eastAsia="Times New Roman" w:hAnsi="Times New Roman"/>
                <w:sz w:val="23"/>
                <w:szCs w:val="23"/>
                <w:color w:val="auto"/>
                <w:vertAlign w:val="superscript"/>
              </w:rPr>
              <w:t>(1)(3)</w:t>
            </w:r>
          </w:p>
        </w:tc>
        <w:tc>
          <w:tcPr>
            <w:tcW w:w="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III</w:t>
            </w:r>
          </w:p>
        </w:tc>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 ​ Director</w:t>
            </w: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2024</w:t>
            </w:r>
          </w:p>
        </w:tc>
      </w:tr>
      <w:tr>
        <w:trPr>
          <w:trHeight w:val="28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Srinivas Akkaraju, M.D., Ph.D.</w:t>
            </w:r>
            <w:r>
              <w:rPr>
                <w:rFonts w:ascii="Times New Roman" w:cs="Times New Roman" w:eastAsia="Times New Roman" w:hAnsi="Times New Roman"/>
                <w:sz w:val="23"/>
                <w:szCs w:val="23"/>
                <w:color w:val="auto"/>
                <w:vertAlign w:val="superscript"/>
              </w:rPr>
              <w:t>(1)(4)</w:t>
            </w: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​58 ​ Director</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2024</w:t>
            </w:r>
          </w:p>
        </w:tc>
      </w:tr>
      <w:tr>
        <w:trPr>
          <w:trHeight w:val="284"/>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Sapna Srivastava, Ph.D.</w:t>
            </w:r>
            <w:r>
              <w:rPr>
                <w:rFonts w:ascii="Times New Roman" w:cs="Times New Roman" w:eastAsia="Times New Roman" w:hAnsi="Times New Roman"/>
                <w:sz w:val="23"/>
                <w:szCs w:val="23"/>
                <w:color w:val="auto"/>
                <w:vertAlign w:val="superscript"/>
              </w:rPr>
              <w:t>(3)</w:t>
            </w:r>
          </w:p>
        </w:tc>
        <w:tc>
          <w:tcPr>
            <w:tcW w:w="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 ​ Director</w:t>
            </w: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-1028065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-1028065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-1028065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-1028065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Science and Technology Committee.</w:t>
      </w:r>
    </w:p>
    <w:p>
      <w:pPr>
        <w:spacing w:after="0" w:line="15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Martin Babler </w:t>
      </w:r>
      <w:r>
        <w:rPr>
          <w:rFonts w:ascii="Times New Roman" w:cs="Times New Roman" w:eastAsia="Times New Roman" w:hAnsi="Times New Roman"/>
          <w:sz w:val="18"/>
          <w:szCs w:val="18"/>
          <w:color w:val="auto"/>
        </w:rPr>
        <w:t>has served as our President, Chief Executive Officer, and Chairman of the Board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2021. From April 2011 until October 2020, he served as President and Chief Executive Officer at Principia Biopharma Inc., a biotechnology company acquired by Sanofi S.A. From December 2007 to April 2011, Mr. Babler served as President and Chief Executive Officer of Talima Therapeutics, Inc., a pharmaceutical company. From 1998 to 2007, Mr. Babler held several positions at Genentech, Inc., a biopharmaceutical company, most notably as Vice President, Immunology Sales and Marketing. Mr. Babler presently serves on the board of directors of Prelude Therapeutics Inc. and the non-profit organization Biotechnology Innovation Organization, and previously served on the board of directors of 89bio Inc., Sardona Therapeutics, Inc., Neoleukin Therapeutics, Inc., and Omega Alpha SPAC. Mr. Babler received a Swiss Federal Diploma in pharmacy from the Federal Institute of Technology in Zurich and completed the Executive Development Program at the Kellogg Graduate School of Management at Northwestern University. We believe that Mr. Babler’s industry and leadership roles, and his knowledge of Alumis as Chief Executive Officer, makes him well qualified to serve on the Board.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Alan B. Colowick, M.D., M.P.H. </w:t>
      </w:r>
      <w:r>
        <w:rPr>
          <w:rFonts w:ascii="Times New Roman" w:cs="Times New Roman" w:eastAsia="Times New Roman" w:hAnsi="Times New Roman"/>
          <w:sz w:val="18"/>
          <w:szCs w:val="18"/>
          <w:color w:val="auto"/>
        </w:rPr>
        <w:t>has served as a member of the Board since December 2021.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2021, Dr. Colowick has served as the Senior Managing Director of Matrix Capital Management Company. From May 2017 to January 2021, Dr. Colowick served as a private equity partner at Sofinnova Ventures. From 2010 to 2017, Dr. Colowick held various positions at Celgene Corporation, a pharmaceutical company, including Executive Vice President. From 2008 to 2010, Dr. Colowick was the Chief Executive Officer at Gloucester Pharmaceuticals, Inc., a pharmaceutical company, until its acquisition by Celgene in 2010. From 2006 to 2008, Dr. Colowick was President of Oncology for Geron Corporation, a biotechnology company, and from 2005 to 2006 was Chief Medical Officer of Threshold Pharmaceuticals, a pharmaceutical company. From 1999 to 2005, Dr. Colowick held various positions at Amgen Inc., a biopharmaceutical company. Dr. Colowick currently serves as a member on the board of directors of multiple private companies and previously served as a member on the board of directors of ACELYRIN, Inc. from November 2021 to May 2025. Dr. Colowick completed specialty training in Hematology-Oncology at the Dana Farber Cancer Institute/Brigham and Women’s Hospital. Dr. Colowick received a M.D. from Stanford University, a M.P.H from Harvard University, and a B.S. in Molecular Biology from the University of Colorado. We believe that Dr. Colowick’s extensive professional experience, as well as financial understanding of the biotechnology industry, provide him with the qualifications and skills to serve as a member of the Board.</w:t>
      </w:r>
    </w:p>
    <w:p>
      <w:pPr>
        <w:spacing w:after="0" w:line="343"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Machado, J.D. </w:t>
      </w:r>
      <w:r>
        <w:rPr>
          <w:rFonts w:ascii="Times New Roman" w:cs="Times New Roman" w:eastAsia="Times New Roman" w:hAnsi="Times New Roman"/>
          <w:sz w:val="18"/>
          <w:szCs w:val="18"/>
          <w:color w:val="auto"/>
        </w:rPr>
        <w:t>has served as a member of the Board since June 2024. Mr. Machado was a co-founder of Medivation, Inc., a biopharmaceutical company, and served as its chief business officer from December 2009 to April 2014 and as its chief financial officer from December 2004 until his retirement in April 2014. From 1998 to 2001, Mr. Machado worked with ProDuct Health, Inc., a medical device company, as senior vice president, chief financial officer and earlier as general counsel. Upon ProDuct Health Inc.’s acquisition by Cytyc Corporation, a diagnostic and medical device company, he served as a consultant to Cytyc Corporation to assist with transitional matters from 2001 to 2002. Earlier in his career, Mr. Machado worked for Morrison &amp; Foerster LLP, an international law firm, and for the Massachusetts Supreme Judicial Court. Mr. Machado serves as a member of the boards of directors of Arcus Biosciences, Inc. and Xenon Pharmaceuticals, Inc., both of which are publicly traded biopharmaceutical companies. Mr. Machado also chairs the board of directors of Prota Therapeutics, and is a member of the board of directors of Avenzo Therapeutics, both of which are privately held biopharmaceutical companies. Mr. Machado previously served on the board of directors of publicly traded companies, such as Adverum Biotechnologies from March 2017 to December 2025, ACELYRIN, Inc. from April 2021 to May 2025, Chimerix, Inc. from</w:t>
      </w:r>
    </w:p>
    <w:p>
      <w:pPr>
        <w:spacing w:after="0" w:line="4"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June 2014 to June 2024, Turnstone Biologics Inc. from August 2018 to April 2024, Turning Point Therapeutics, Inc. from May 2019 to September 2022, Endocyte, Inc. from February 2018 to December 2018, Axovant Sciences, Inc. from June 2017 to February 2018, SCYNEXIS, Inc. from September 2015 to June 2019, Medivation, Inc. from April 2014 to September 2016, Inotek Pharmaceuticals Corporation (now Rocket Pharmaceuticals, Inc.) from August 2016 to January 2018, and Principia Biopharma Inc. from June 2019 to September 2020; and on the board of directors of privately held companies such as Roivant Sciences, Ltd. from October 2016 to June 2022, and Therachon AG from January 2019 to July 2019. Mr. Machado received a J.D. from Harvard Law School and a B.A. in German and a B.S. in Economics from Santa Clara University. We believe that Mr. Machado’s extensive experience dealing with the operational and financial issues of biopharmaceutical companies provide him with the qualifications and skills to serve on the Board.</w:t>
      </w:r>
    </w:p>
    <w:p>
      <w:pPr>
        <w:spacing w:after="0" w:line="3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Srinivas Akkaraju, M.D., Ph.D. </w:t>
      </w:r>
      <w:r>
        <w:rPr>
          <w:rFonts w:ascii="Times New Roman" w:cs="Times New Roman" w:eastAsia="Times New Roman" w:hAnsi="Times New Roman"/>
          <w:sz w:val="18"/>
          <w:szCs w:val="18"/>
          <w:color w:val="auto"/>
        </w:rPr>
        <w:t>has served as a member of the Board since March 2024. Dr. Akkaraju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and managing member of Samsara BioCapital, a venture capital firm, a position he has held since March 2017, and has been a co-founder and director of Kalaris Therapeutics since August 2025. From April 2013 to February 2016, Dr. Akkaraju served as a general partner of Sofinnova Ventures, a venture capital firm. From January 2009 to April 2013, Dr. Akkaraju served as managing director of New Leaf Venture Partners, a venture capital firm. Dr. Akkaraju presently serves on the board of directors of vTv Therapeutics Inc., Scholar Rock Holding Corporation, Mineralys Therapeutics, Inc., Inventiva S.A., and numerous private biopharmaceutical companies. During the past five years, he served as a director of Syros Pharmaceuticals, Inc., Chinook Therapeutics, Inc., Jiya Acquisition Corp., and Intercept Pharmaceuticals, Inc. Dr. Akkaraju received an M.D. and a Ph.D. in Immunology from Stanford University and undergraduate degrees in Biochemistry and Computer Science from Rice University. We believe that Dr. Akkaraju’s extensive investment experience in the biopharmaceutical industry, as well as his scientific background and experience on numerous public and private company boards of directors make him well qualified to serve as a member of 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Sapna Srivastava, Ph.D. </w:t>
      </w:r>
      <w:r>
        <w:rPr>
          <w:rFonts w:ascii="Times New Roman" w:cs="Times New Roman" w:eastAsia="Times New Roman" w:hAnsi="Times New Roman"/>
          <w:sz w:val="18"/>
          <w:szCs w:val="18"/>
          <w:color w:val="auto"/>
        </w:rPr>
        <w:t>has served as a member of the Board since May 2022. From March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2021, Dr. Srivastava served as the interim Chief Financial Officer at eGenesis, Inc., a biopharmaceutical company. From September 2017 to January 2019, Dr. Srivastava served as the Chief Financial and Strategy Officer at Abide Therapeutics, Inc., a biopharmaceutical company acquired by</w:t>
      </w:r>
    </w:p>
    <w:p>
      <w:pPr>
        <w:spacing w:after="0" w:line="3"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H. Lundbeck A/S in 2019. From April 2015 to December 2016, Dr. Srivastava served as the Chief Financial and Strategy Officer at Intellia Therapeutics, Inc., a gene editing company. Previously, for nearly 15 years, Dr. Srivastava was a senior biotechnology analyst at Goldman Sachs, Morgan Stanley, and ThinkEquity Partners, LLC. Dr. Srivastava began her career as a research associate at JP Morgan. Dr. Srivastava currently serves on the board of directors of the following public biopharmaceutical companies: Aura Biosciences, Inc. and Nuvalent, Inc. Dr. Srivastava holds a Ph.D. from New York University School of Medicine and a B.Sc. from St. Xavier’s College, University of Bombay. We believe that Dr. Srivastava’s experience in the pharmaceutical industry makes her well qualified to serve as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INFORMATION REGARDING THE BOARD OF DIRECTORS AND CORPORATE GOVERNANCE</w:t>
      </w: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Under Nasdaq listing standards (“Nasdaq Listing Rules”), independent directors must comprise a majority of a listed company’s board of directors. In addition, Nasdaq requires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a director will only qualify as an “independent director” if, in the opinion of the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34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us, our senior management or our independent auditors, and all other facts and circumstances our Board deemed relevant including the beneficial ownership of our common stock, our Board has affirmatively determined that none of our directors, other than Martin Babler, has any relationship that would interfere with the exercise of independent judgment in carrying out the responsibilities of a director, and that each of these directors is “independent” as that term is defined under the Nasdaq Listing Rules. Our Board has determined that Martin Babler is not an independent director by virtue of his service as our President and Chief Executive Officer. In addition, the Board has determined that each member of the Audit Committee, Compensation Committee and Nominating and Corporate Governance Committee meets the applicable Nasdaq and SEC rules and regulations regarding “independence” and that each member is free of any relationship that would impair his or her individual exercise of independent judgment with regard to the Company.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Our Board maintains the flexibility to determine whether the roles of Chairman and Chief Executive Officer should be combined or separated, based on what it believes is in the best interests of the Company at a given point in time. The Board believes that this flexibility is in the best interest of the Company and that</w:t>
      </w:r>
    </w:p>
    <w:p>
      <w:pPr>
        <w:spacing w:after="0" w:line="1" w:lineRule="exact"/>
        <w:rPr>
          <w:sz w:val="20"/>
          <w:szCs w:val="20"/>
          <w:color w:val="auto"/>
        </w:rPr>
      </w:pPr>
    </w:p>
    <w:p>
      <w:pPr>
        <w:ind w:left="1260" w:right="599"/>
        <w:spacing w:after="0" w:line="260" w:lineRule="auto"/>
        <w:tabs>
          <w:tab w:leader="none" w:pos="13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one-size-fits-all approach to corporate governance, with a mandated independent Chair, would not result in better governance or oversight.</w:t>
      </w:r>
    </w:p>
    <w:p>
      <w:pPr>
        <w:spacing w:after="0" w:line="114"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At this time, the Board believes that our current Chief Executive Officer is best situated to serve as Chairman of the Board. Mr. Babler is highly knowledgeable and has long-standing experience with respect to our business, operations and industry and ongoing executive responsibility for the Company. Mr. Babler is well positioned to identify strategic priorities and lead the Board’s consideration and analysis of such priorities. In addition, Mr. Babler offers a robust understanding of the risks facing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Board appointed Dr. Srivastava as the Board’s lead independent director in June 2025 to help reinforce the independence of the Board as a whole. The position of lead independent director has been structured to serve as an effective balance to a combined Chief Executive Officer/Chairman role: the lead independent director is empowered to, among other duties and responsibilities, preside over Board meetings in the absence of the Chairman, act as liaison between the Chairman and the independent directors, preside over meetings of the independent directors and consult with the Chairman in planning and setting schedules and agendas for Board meetings to be held during the year. As a result, we believe that the lead independent director can help ensure the effective independent functioning of the Board in its oversight responsibilities. In addition, we believe that the lead independent director is better positioned to build a</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019"/>
        <w:spacing w:after="0" w:line="258" w:lineRule="auto"/>
        <w:rPr>
          <w:sz w:val="20"/>
          <w:szCs w:val="20"/>
          <w:color w:val="auto"/>
        </w:rPr>
      </w:pPr>
      <w:r>
        <w:rPr>
          <w:rFonts w:ascii="Times New Roman" w:cs="Times New Roman" w:eastAsia="Times New Roman" w:hAnsi="Times New Roman"/>
          <w:sz w:val="18"/>
          <w:szCs w:val="18"/>
          <w:color w:val="auto"/>
        </w:rPr>
        <w:t>consensus among directors and to serve as a conduit between the other independent directors and the Chairman, for example, by facilitating the inclusion on meeting agendas of matters of concern to the independent directors.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Commitments</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Board believes that all members of the Board should have sufficient time and attention to devote to Board duties and to otherwise fulfill the responsibilities required of directors. In assessing whether directors and nominees for director have sufficient time and attention to devote to Board duties, the Nominating and Corporate Governance Committee and the Board consider, among other things, whether directors may be “overboarded,” which refers to the situation where a director serves on an excessive number of public company boards.</w:t>
      </w:r>
    </w:p>
    <w:p>
      <w:pPr>
        <w:spacing w:after="0" w:line="325"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The Board believes that each of our directors, including each of our director nominees, has demonstrated the ability to devote sufficient time and attention to Board duties and to otherwise fulfill the responsibilities required of directors.</w:t>
      </w:r>
    </w:p>
    <w:p>
      <w:pPr>
        <w:spacing w:after="0" w:line="10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note that Dr. Yao currently serves as Chief Executive Officer of ArriVent Biopharma (ArriVent) and serves on the boards of directors of public companies ArriVent and Visen Pharmaceuticals. The Board is aware that certain proxy advisory firms may deem Dr. Yao overboarded given his executive role and other board service. The Board has determined that such simultaneous service does not impair Dr. Yao’s ability to fulfill his duties as a member of the Board, and believes that Dr. Yao has demonstrated, and will continue to demonstrate, his ability to dedicate sufficient time and attention to carry out his Board duties effectively. In reaching this determination, the Board considered Dr. Yao’s consistent record of preparation for, and attendance and active participation at, meetings of the Board, the Nominating and Corporate Governance Committee and the Science and Technology Committee, as well as his ongoing engagement with management and fellow Board members. The Board further considered the significant value that Dr. Yao’s skills and experience, executive leadership experience and broad public company board service bring to his role, and concluded that such enhance his value and contributions to the Board, and accordingly benefit us.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One of the key functions of the Board is to oversee our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including a determination of the nature and level of risk appropriate for us.</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Board also focuses on emerging risks, as well as risk mitigation strategies. Our Audit Committee has the responsibility to consider and discuss, with management and our independent auditors, the major financial risk exposures and the steps our management should take to monitor and control such exposures, including guidelines and policies to govern the process by which risk assessment and management are undertaken. Our Audit Committee also monitors compliance with legal and regulatory requirements, as well as cyber-security risk, in addition to overseeing our internal control over financial reporting and disclosure controls and procedures. Our Compensation Committee also assesses and monitors whether any of our compensation policies and programs has the potential to encourage excessive risk taking.</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met twenty-two times during the last fiscal year. Each Board member, other than</w:t>
      </w:r>
    </w:p>
    <w:p>
      <w:pPr>
        <w:spacing w:after="0" w:line="27"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Dr. Colowick and Mr. Machado, who were asked to recuse themselves from certain meetings in accordance with our corporate governance practices, attended 75% or more of the aggregate number of meetings of the Board and the total number of meetings of all committees on which he or she served, held during the portion of the last fiscal year for which he or she was a director or committee member.</w:t>
      </w:r>
    </w:p>
    <w:p>
      <w:pPr>
        <w:spacing w:after="0" w:line="115"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As required under applicable Nasdaq listing standards, in fiscal 2025, our independent directors met 10 times in regularly scheduled executive sessions at which only independent directors were present.</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Board has established four standing committees: an Audit Committee, a Compensation Committee, a Nominating and Corporate Governance Committee and a Science and Technology Committee. Members serve on these committees until their resignation or until otherwise determined by our Board. Our Board may establish other committees as it deems necessary or appropriate from time to time. Copies of the written charters of each standing committee, other than the Science and Technology Committee, which does not have a written charter, are available in the “Corporate Governance” section of our investor website at investors.alumis.com. The following table provides current membership and meeting information for the year ended December 31, 2025 for each of these standing committees:</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5040" w:type="dxa"/>
            <w:vAlign w:val="bottom"/>
          </w:tcPr>
          <w:p>
            <w:pPr>
              <w:ind w:left="374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8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Science and</w:t>
            </w:r>
          </w:p>
        </w:tc>
      </w:t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4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Audit   Compensation   Corporate Governance</w:t>
            </w:r>
          </w:p>
        </w:tc>
        <w:tc>
          <w:tcPr>
            <w:tcW w:w="8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2"/>
              </w:rPr>
              <w:t>Technology</w:t>
            </w:r>
            <w:r>
              <w:rPr>
                <w:rFonts w:ascii="Times New Roman" w:cs="Times New Roman" w:eastAsia="Times New Roman" w:hAnsi="Times New Roman"/>
                <w:sz w:val="17"/>
                <w:szCs w:val="17"/>
                <w:b w:val="1"/>
                <w:bCs w:val="1"/>
                <w:color w:val="auto"/>
                <w:w w:val="92"/>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Martin Babler</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Srinivas Akkaraju, M.D., Ph.D</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Alan B. Colowick, M.D., M.P.H.</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Patrick Machado, J.D.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Sapna Srivastava, Ph.D.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James B. Tananbaum, M.D.</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Lynn Tetrault, J.D.</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Zhengbin (Bing) Yao, Ph.D.</w:t>
      </w:r>
      <w:r>
        <w:rPr>
          <w:rFonts w:ascii="Times New Roman" w:cs="Times New Roman" w:eastAsia="Times New Roman" w:hAnsi="Times New Roman"/>
          <w:sz w:val="23"/>
          <w:szCs w:val="23"/>
          <w:color w:val="auto"/>
          <w:vertAlign w:val="superscript"/>
        </w:rPr>
        <w:t>(3)</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meetings in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17145</wp:posOffset>
            </wp:positionV>
            <wp:extent cx="52120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14605</wp:posOffset>
            </wp:positionV>
            <wp:extent cx="52120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5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w:t>
      </w:r>
    </w:p>
    <w:p>
      <w:pPr>
        <w:spacing w:after="0" w:line="5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0</wp:posOffset>
            </wp:positionV>
            <wp:extent cx="52120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5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w:t>
      </w:r>
    </w:p>
    <w:p>
      <w:pPr>
        <w:spacing w:after="0" w:line="7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0</wp:posOffset>
            </wp:positionV>
            <wp:extent cx="52120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r>
      <w:tr>
        <w:trPr>
          <w:trHeight w:val="28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0"/>
              </w:rPr>
              <w:t>​X*</w:t>
            </w:r>
          </w:p>
        </w:tc>
      </w:tr>
      <w:tr>
        <w:trPr>
          <w:trHeight w:val="26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7" w:lineRule="exact"/>
        <w:rPr>
          <w:sz w:val="20"/>
          <w:szCs w:val="20"/>
          <w:color w:val="auto"/>
        </w:rPr>
      </w:pPr>
    </w:p>
    <w:p>
      <w:pPr>
        <w:sectPr>
          <w:pgSz w:w="11900" w:h="16838" w:orient="portrait"/>
          <w:cols w:equalWidth="0" w:num="4">
            <w:col w:w="4820" w:space="720"/>
            <w:col w:w="280" w:space="540"/>
            <w:col w:w="2860" w:space="240"/>
            <w:col w:w="419"/>
          </w:cols>
          <w:pgMar w:left="580" w:top="97" w:right="1440" w:bottom="1440" w:gutter="0" w:footer="0" w:header="0"/>
          <w:type w:val="continuous"/>
        </w:sectPr>
      </w:pPr>
    </w:p>
    <w:p>
      <w:pPr>
        <w:spacing w:after="0" w:line="146" w:lineRule="exact"/>
        <w:rPr>
          <w:sz w:val="20"/>
          <w:szCs w:val="20"/>
          <w:color w:val="auto"/>
        </w:rPr>
      </w:pPr>
    </w:p>
    <w:p>
      <w:pPr>
        <w:ind w:left="1620" w:hanging="360"/>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Designates Committee Chairperson</w:t>
      </w:r>
    </w:p>
    <w:p>
      <w:pPr>
        <w:spacing w:after="0" w:line="90" w:lineRule="exact"/>
        <w:rPr>
          <w:sz w:val="20"/>
          <w:szCs w:val="20"/>
          <w:color w:val="auto"/>
        </w:rPr>
      </w:pPr>
    </w:p>
    <w:p>
      <w:pPr>
        <w:ind w:left="1620" w:right="1059" w:hanging="360"/>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Science and Technology Committee was formed on June 20, 2025, at which time Drs. Yao, Akkaraju, Colowick and Tananbaum were appointed to such Committee.</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Tetrault was appointed to the Compensation Committee effective June 3, 2025.</w:t>
      </w:r>
    </w:p>
    <w:p>
      <w:pPr>
        <w:spacing w:after="0" w:line="90" w:lineRule="exact"/>
        <w:rPr>
          <w:rFonts w:ascii="Times New Roman" w:cs="Times New Roman" w:eastAsia="Times New Roman" w:hAnsi="Times New Roman"/>
          <w:sz w:val="18"/>
          <w:szCs w:val="18"/>
          <w:color w:val="auto"/>
        </w:rPr>
      </w:pPr>
    </w:p>
    <w:p>
      <w:pPr>
        <w:ind w:left="1620" w:right="819" w:hanging="360"/>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Yao ceased serving on the Compensation Committee and was appointed to the Nominating and Corporate Governance Committee effective June 3, 2025.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 currently consists of Srinivas Akkaraju, Alan Colowick and Patrick Machado, each of whom satisfies the independence requirements under the Nasdaq Listing Rules and Rule 10A-3(b)</w:t>
      </w:r>
    </w:p>
    <w:p>
      <w:pPr>
        <w:ind w:left="1260" w:right="539"/>
        <w:spacing w:after="0" w:line="253"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The chair of the Audit Committee is Patrick Machado, who qualifies as an “audit committee financial expert” within the meaning of SEC regulations. Each member of our Audit Committee can read and understand fundamental financial statements in accordance with applicable requirements. In arriving at these determinations, the Board has examined each audit committee member’s scope of experience and the nature of their employment in the corporate finance sector.</w:t>
      </w:r>
    </w:p>
    <w:p>
      <w:pPr>
        <w:spacing w:after="0" w:line="119"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with respect to our corporate accounting and financial reporting processes, systems of internal control and financial-statement audits, and to oversee our independent auditor. Specific responsibilities of our Audit Committee include:</w:t>
      </w:r>
    </w:p>
    <w:p>
      <w:pPr>
        <w:spacing w:after="0" w:line="72"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our corporate accounting and financial reporting processes;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auditor to audit our financial statements;</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auditor,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auditor at least annually, that describes our internal quality control procedures, any material issues with such procedures, and any steps taken to deal with such issues when required by applicable law; and</w:t>
      </w:r>
    </w:p>
    <w:p>
      <w:pPr>
        <w:spacing w:after="0" w:line="8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auditor.</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met four times in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Alan Colowick, James Tananbaum and Lynn Tetrault. The chair of the Compensation Committee is Alan Colowick. The Board has determined that each member of our Compensation Committee is independent under the Nasdaq Listing Rules.</w:t>
      </w:r>
    </w:p>
    <w:p>
      <w:pPr>
        <w:spacing w:after="0" w:line="10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the Board in overseeing our compensation policies, plans and programs and to review and determine the compensation to be paid to our executive officers and directors. Specific responsibilities of our Compensation Committee include:</w:t>
      </w:r>
    </w:p>
    <w:p>
      <w:pPr>
        <w:spacing w:after="0" w:line="292" w:lineRule="exact"/>
        <w:rPr>
          <w:sz w:val="20"/>
          <w:szCs w:val="20"/>
          <w:color w:val="auto"/>
        </w:rPr>
      </w:pPr>
    </w:p>
    <w:p>
      <w:pPr>
        <w:ind w:left="1800" w:right="6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chief executive officer, other executive officers and senior management;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paid to our directors;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with our executive officers and other senior management;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67"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the Board succession plans for our executive officers; and</w:t>
      </w:r>
    </w:p>
    <w:p>
      <w:pPr>
        <w:spacing w:after="0" w:line="314"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strategy, including base salary, incentive compensation and equity-based grants, to assure that it promotes stockholder interests and supports our strategic and tactical objectives, and that it provides for appropriate rewards and incentives for our management and employees.</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retains Pearl Meyer &amp; Partners, LLC, an independent executive compensation consulting firm (“Pearl Meyer”), as its outside compensation consultant, to assess our executive and director compensation programs. Pearl Meyer attends Compensation Committee meetings when invited and meets with the Compensation Committee without management. Pearl Meyer provides the Compensation Committee with third-party data and analysis as well as advice and expertise on competitive compensation practices and trends, executive compensation plans and program designs and proposed executive and director compensation levels. Pearl Meyer reports directly to the Compensation Committee and, as directed by the Compensation Committee, works with management and the chair of the Compensation Committee.</w:t>
      </w:r>
    </w:p>
    <w:p>
      <w:pPr>
        <w:spacing w:after="0" w:line="3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2025 compensation, Pearl Meyer assisted the Compensation Committee with the following:</w:t>
      </w:r>
    </w:p>
    <w:p>
      <w:pPr>
        <w:spacing w:after="0" w:line="117"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peer group of companies for our executive and director compensation analysis;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company-wide market-based compensation guidelines;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company-wide market-based equity compensation guidelines for new hire and annual grants;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2879"/>
        <w:spacing w:after="0" w:line="454"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compensation market-based benchmarking data. The Compensation Committee met six times in 2025.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Sapna Srivastava, Patrick Machado and Zhengbin (Bing) Yao. The chair of our Nominating and Corporate Governance Committee is Sapna Srivastava. The Board has determined that each member of the Nominating and Corporate Governance Committee is independent under the Nasdaq Listing Rules.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04" w:lineRule="exact"/>
        <w:rPr>
          <w:sz w:val="20"/>
          <w:szCs w:val="20"/>
          <w:color w:val="auto"/>
        </w:rPr>
      </w:pPr>
    </w:p>
    <w:p>
      <w:pPr>
        <w:ind w:left="1800" w:right="4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the Board;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the Board and orientation of new directors;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and</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Board’s performance, including committees of the Board and management.</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Nominating and Corporate Governance Committee met three times in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62"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On June 20, 2025, our Board approved the formation of a Science and Technology Committee. The Science and Technology Committee consists of Zhengbin (Bing) Yao, Srinivas Akkaraju, Alan Colowick and James Tananbaum. The chair of our Science and Technology Committee is Zhengbin (Bing) Yao.</w:t>
      </w:r>
    </w:p>
    <w:p>
      <w:pPr>
        <w:spacing w:after="0" w:line="95"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Science and Technology Committee’s sole responsibility is to provide advice to the members of the Board and the officers of the Company.</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Science and Technology Committee met two times in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Stockholders wishing to communicate with our Board or an individual director may send a written communication to the Board or such director c/o Alumis Inc., 280 East Grand Avenue, South San Francisco, California 94080, Attention: Chief Legal Officer. The Chief Legal Officer will review each communication. The Chief Legal Officer will forward such communication to the Board or to any individual director to whom the communication is addressed, unless the communication contains advertisements or solicitations or is unduly hostile, threatening or similarly inappropriate, in which case the Chief Legal Officer shall discard the communication or inform the proper authorities, as may be appropriate.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employees, officers and directors. This includes our principal executive officer, principal financial officer and principal accounting officer or controller, or persons performing similar functions. The full text of our Code of Business Conduct and Ethics is posted under the “Corporate Governance” section of our investor website at investors.alumis.com. We intend to disclose on our website any future amendments to our Code of Business Conduct and Ethics or waivers that exempt any principal executive officer, principal financial officer, principal accounting officer or controller, persons performing similar functions or our directors from provisions in the Code of Business Conduct and Ethics.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2024, the Board documented the governance practices for its conduct and operation by adopting corporate governance guidelines. The guidelines are meant to assure that the Board will have the necessary authority and practices in place to review and evaluate our business operations as needed and to make decisions that are independent of our management. The guidelines are also intended to align the interests of directors and our management with those of our stockholders. The corporate governance guidelines set forth the practices the Board intends to follow with respect to Board composition and selection, Board standing committees, Board meetings and involvement of senior management, Chief Executive Officer performance evaluation and succession planning. The corporate governance guidelines are available under the “Corporate Governance” section of our investor website at investors.alumis.com.</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applicable to our directors, officers and employees and other covered persons, governing the purchase, sale and other dispositions of our securities (the “Insider Trading Policy”). We believe that the Insider Trading Policy is reasonably designed to promote compliance with applicable U.S. insider trading laws, rules and regulations, and listing standards applicable to us. The Insider Trading Policy is filed as Exhibit 19.1 to our 2024 Annual Report on Form 10-K for the fiscal year ended December 31, 2024.</w:t>
      </w:r>
    </w:p>
    <w:p>
      <w:pPr>
        <w:spacing w:after="0" w:line="10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and employees and other covered persons from engaging in derivative securities or hedging transactions, including prepaid variable forwards, equity swaps, collars and exchange funds, or otherwise engaging in transactions that hedge or offset, or are designed to hedge or offset any decrease in the market value of our securities and the risks associated with holding our common stock. Our Insider Trading Policy also prohibits trading in publicly traded options, such as puts and calls, and other derivative securities with respect to our securities (other than stock options and other compensatory equity awards issued by us), as well as holding our common stock in margin accounts. Additionally, our Insider Trading Policy prohibits pledging securities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AUDITOR</w:t>
      </w:r>
    </w:p>
    <w:p>
      <w:pPr>
        <w:spacing w:after="0" w:line="16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Audit Committee has selected PricewaterhouseCoopers LLP as our independent auditor for the fiscal year ending December 31, 2026 and has further directed that management submit the selection of its independent auditor for ratification by the stockholders at the Annual Meeting. PricewaterhouseCoopers LLP has audited our financial statements since 2022. Representatives of PricewaterhouseCoopers LLP are expected to be present at the Annual Meeting. They will have an opportunity to make a statement if they so desire and are expected to be available to respond to appropriate questions from stockholders.</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Stockholder ratification of the appointment of PricewaterhouseCoopers LLP as our independent auditor is not required by our bylaws nor other governing documents or by law. However, the Audit Committee is seeking stockholder ratification as a matter of good corporate governance. If our stockholders fail to ratify the appointment, the Audit Committee will reconsider its selection. Even if the appointment is ratified, the Audit Committee, in its discretion, may direct the appointment of a different independent auditor at any time during the year if it determines that such a change would be in the best interests of the Company and our stockholders.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148"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audit of our 2025 financial statements, we entered into an engagement agreement with PricewaterhouseCoopers LLP, which sets forth the terms under which PricewaterhouseCoopers LLP performed audit services for the Company.</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aggregate fees billed to us for the fiscal years ended December 31, 2025 and December 31, 2024 by PricewaterhouseCoopers LLP (in thousands). All services associated with such fees were pre-approved by our Audit Committee in accordance with the “Pre-Approval Policies and Procedures” described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Fees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2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116205</wp:posOffset>
            </wp:positionV>
            <wp:extent cx="1234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67"/>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19"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788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4" w:lineRule="exact"/>
        <w:rPr>
          <w:sz w:val="20"/>
          <w:szCs w:val="20"/>
          <w:color w:val="auto"/>
        </w:rPr>
      </w:pPr>
    </w:p>
    <w:p>
      <w:pPr>
        <w:ind w:left="107"/>
        <w:spacing w:after="0"/>
        <w:tabs>
          <w:tab w:leader="none" w:pos="827"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129" w:lineRule="exact"/>
        <w:rPr>
          <w:sz w:val="20"/>
          <w:szCs w:val="20"/>
          <w:color w:val="auto"/>
        </w:rPr>
      </w:pPr>
    </w:p>
    <w:p>
      <w:pPr>
        <w:ind w:left="7"/>
        <w:spacing w:after="0"/>
        <w:tabs>
          <w:tab w:leader="none" w:pos="707" w:val="left"/>
        </w:tabs>
        <w:rPr>
          <w:sz w:val="20"/>
          <w:szCs w:val="20"/>
          <w:color w:val="auto"/>
        </w:rPr>
      </w:pPr>
      <w:r>
        <w:rPr>
          <w:rFonts w:ascii="Times New Roman" w:cs="Times New Roman" w:eastAsia="Times New Roman" w:hAnsi="Times New Roman"/>
          <w:sz w:val="18"/>
          <w:szCs w:val="18"/>
          <w:color w:val="auto"/>
        </w:rPr>
        <w:t>​$2,110</w:t>
        <w:tab/>
        <w:t>​$1,691</w:t>
      </w:r>
    </w:p>
    <w:p>
      <w:pPr>
        <w:spacing w:after="0" w:line="77" w:lineRule="exact"/>
        <w:rPr>
          <w:sz w:val="20"/>
          <w:szCs w:val="20"/>
          <w:color w:val="auto"/>
        </w:rPr>
      </w:pPr>
    </w:p>
    <w:p>
      <w:pPr>
        <w:ind w:left="7"/>
        <w:spacing w:after="0"/>
        <w:tabs>
          <w:tab w:leader="none" w:pos="207" w:val="left"/>
          <w:tab w:leader="none" w:pos="707" w:val="left"/>
          <w:tab w:leader="none" w:pos="1027" w:val="left"/>
        </w:tabs>
        <w:rPr>
          <w:sz w:val="20"/>
          <w:szCs w:val="20"/>
          <w:color w:val="auto"/>
        </w:rPr>
      </w:pPr>
      <w:r>
        <w:rPr>
          <w:rFonts w:ascii="Times New Roman" w:cs="Times New Roman" w:eastAsia="Times New Roman" w:hAnsi="Times New Roman"/>
          <w:sz w:val="18"/>
          <w:szCs w:val="18"/>
          <w:color w:val="auto"/>
        </w:rPr>
        <w:t>​</w:t>
        <w:tab/>
        <w:t>121</w:t>
        <w:tab/>
        <w:t>​</w:t>
      </w:r>
      <w:r>
        <w:rPr>
          <w:sz w:val="20"/>
          <w:szCs w:val="20"/>
          <w:color w:val="auto"/>
        </w:rPr>
        <w:tab/>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327" w:hanging="327"/>
        <w:spacing w:after="0"/>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49" w:lineRule="exact"/>
        <w:rPr>
          <w:rFonts w:ascii="Times New Roman" w:cs="Times New Roman" w:eastAsia="Times New Roman" w:hAnsi="Times New Roman"/>
          <w:sz w:val="18"/>
          <w:szCs w:val="18"/>
          <w:color w:val="auto"/>
        </w:rPr>
      </w:pPr>
    </w:p>
    <w:p>
      <w:pPr>
        <w:jc w:val="both"/>
        <w:ind w:left="7" w:right="419" w:hanging="7"/>
        <w:spacing w:after="0" w:line="183" w:lineRule="auto"/>
        <w:tabs>
          <w:tab w:leader="none" w:pos="42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33"/>
          <w:szCs w:val="33"/>
          <w:color w:val="auto"/>
          <w:vertAlign w:val="superscript"/>
        </w:rPr>
        <w:t>2</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3"/>
          <w:szCs w:val="33"/>
          <w:color w:val="auto"/>
          <w:vertAlign w:val="superscript"/>
        </w:rPr>
        <w:t>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u w:val="single" w:color="auto"/>
          <w:color w:val="auto"/>
        </w:rPr>
        <w:t xml:space="preserve">$2,233 </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u w:val="single" w:color="auto"/>
          <w:color w:val="auto"/>
        </w:rPr>
        <w:t>$1,693</w:t>
      </w:r>
    </w:p>
    <w:p>
      <w:pPr>
        <w:spacing w:after="0" w:line="200" w:lineRule="exact"/>
        <w:rPr>
          <w:sz w:val="20"/>
          <w:szCs w:val="20"/>
          <w:color w:val="auto"/>
        </w:rPr>
      </w:pPr>
    </w:p>
    <w:p>
      <w:pPr>
        <w:sectPr>
          <w:pgSz w:w="11900" w:h="16838" w:orient="portrait"/>
          <w:cols w:equalWidth="0" w:num="2">
            <w:col w:w="7513" w:space="720"/>
            <w:col w:w="1646"/>
          </w:cols>
          <w:pgMar w:left="580" w:top="97" w:right="1440" w:bottom="1440" w:gutter="0" w:footer="0" w:header="0"/>
          <w:type w:val="continuous"/>
        </w:sectPr>
      </w:pPr>
    </w:p>
    <w:p>
      <w:pPr>
        <w:spacing w:after="0" w:line="53" w:lineRule="exact"/>
        <w:rPr>
          <w:sz w:val="20"/>
          <w:szCs w:val="20"/>
          <w:color w:val="auto"/>
        </w:rPr>
      </w:pPr>
    </w:p>
    <w:p>
      <w:pPr>
        <w:ind w:left="1620" w:right="439" w:hanging="360"/>
        <w:spacing w:after="0" w:line="257"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in connection with the audit of our annual consolidated financial statements, including the audited consolidated financial statements as well as other financial statements presented in our 2025 Annual Report on Form 10-K and services that are normally provided by our independent registered public accounting firm in connection with regulatory filings or engagements for those fiscal years. Included in the fiscal year 2024 Audit Fees are fees billed in connection with our IPO.</w:t>
      </w:r>
    </w:p>
    <w:p>
      <w:pPr>
        <w:spacing w:after="0" w:line="255"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for assurance and related services that are traditionally performed by our independent registered public accounting firm, and related to due diligence services related to merger and acquisition matters.</w:t>
      </w:r>
    </w:p>
    <w:p>
      <w:pPr>
        <w:spacing w:after="0" w:line="27" w:lineRule="exact"/>
        <w:rPr>
          <w:rFonts w:ascii="Times New Roman" w:cs="Times New Roman" w:eastAsia="Times New Roman" w:hAnsi="Times New Roman"/>
          <w:sz w:val="18"/>
          <w:szCs w:val="18"/>
          <w:color w:val="auto"/>
        </w:rPr>
      </w:pPr>
    </w:p>
    <w:p>
      <w:pPr>
        <w:ind w:left="1620" w:right="119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subscription fees to the online library of disclosure checklists and accounting research literature.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must pre-approve the audit and non-audit services rendered by our independent auditor, and has adopted a policy and procedures for the pre-approval of audit and non-audit services rendered by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w:t>
      </w:r>
    </w:p>
    <w:p>
      <w:pPr>
        <w:sectPr>
          <w:pgSz w:w="11900" w:h="16838" w:orient="portrait"/>
          <w:cols w:equalWidth="0" w:num="1">
            <w:col w:w="9879"/>
          </w:cols>
          <w:pgMar w:left="580" w:top="97" w:right="1440" w:bottom="1440" w:gutter="0" w:footer="0" w:header="0"/>
          <w:type w:val="continuous"/>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5" w:lineRule="auto"/>
        <w:rPr>
          <w:sz w:val="20"/>
          <w:szCs w:val="20"/>
          <w:color w:val="auto"/>
        </w:rPr>
      </w:pPr>
      <w:r>
        <w:rPr>
          <w:rFonts w:ascii="Times New Roman" w:cs="Times New Roman" w:eastAsia="Times New Roman" w:hAnsi="Times New Roman"/>
          <w:sz w:val="18"/>
          <w:szCs w:val="18"/>
          <w:color w:val="auto"/>
        </w:rPr>
        <w:t>independent auditor or on an individual, explicit, case-by-case basis before the independent auditor is engaged to provide each service. Pursuant to the policy, the Audit Committee delegated specific pre-approval authority to the chairperson of the Audit Committee, concurrent with the Audit Committee’s authority, to approve any one or more individual permitted non-audit services for which estimated fees do not exceed $100,000 as well as adjustments to any estimated pre-approval fee thresholds up to $50,000 for any individual service, but the chairperson’s exercise of such authority must be reported to the full Audit Committee at its next scheduled meeting.</w:t>
      </w:r>
    </w:p>
    <w:p>
      <w:pPr>
        <w:spacing w:after="0" w:line="121"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PricewaterhouseCoopers LLP is compatible with maintaining the principal accountant’s independence.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 A</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for the fiscal year ended December 31, 2025 with management of the Company. The Audit Committee has discussed with the Company’s independent auditor the matters required to be discussed by the applicable requirements of the Public Company Accounting Oversight Board (“PCAOB”) and the SEC. The Audit Committee has also received the written disclosures and the letter from the independent auditor required by applicable requirements of the PCAOB regarding the independent accountants’ communications with the audit committee concerning independence and has discussed with the independent auditor the accounting firm’s independence. Based on the foregoing, the Audit Committee has recommended to the Board that the audited consolidated financial statements be included in the Company’s Annual Report on Form 10-K for the fiscal year ended December 31, 2025.</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This report is provided by the following directors, who serve on the Audit Committee:</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Patrick Machado, J.D. (Chair)</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Srinivas Akkaraju, M.D., Ph.D.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Alan B. Colowick, M.D., M.P.H.</w:t>
      </w:r>
    </w:p>
    <w:p>
      <w:pPr>
        <w:spacing w:after="0" w:line="137" w:lineRule="exact"/>
        <w:rPr>
          <w:sz w:val="20"/>
          <w:szCs w:val="20"/>
          <w:color w:val="auto"/>
        </w:rPr>
      </w:pPr>
    </w:p>
    <w:p>
      <w:pPr>
        <w:jc w:val="both"/>
        <w:ind w:left="1260" w:right="7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foregoing report of the Audit Committee does not constitute soliciting material and shall not be deemed filed, incorporated by reference into or a part of any other filing by the Company (including any future filings) under the Securities Act of 1933, as amended or the Exchange Act, except to the extent the Company specifically incorporates such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certain information with respect to our executive officers as of May 18, 2026.</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49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37"/>
        </w:trPr>
        <w:tc>
          <w:tcPr>
            <w:tcW w:w="25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5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Babler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r>
        <w:trPr>
          <w:trHeight w:val="25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Bradley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5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Jörn Drappa, M.D., Ph.D.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5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Goldstein, Ph.D.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5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Hardiman, J.D.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and Strategy Officer</w:t>
            </w:r>
          </w:p>
        </w:tc>
      </w:tr>
      <w:tr>
        <w:trPr>
          <w:trHeight w:val="27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Schroer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Sanam Pangali, J.D.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126" w:lineRule="exact"/>
        <w:rPr>
          <w:sz w:val="20"/>
          <w:szCs w:val="20"/>
          <w:color w:val="auto"/>
        </w:rPr>
      </w:pPr>
    </w:p>
    <w:p>
      <w:pPr>
        <w:ind w:left="1260" w:right="8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Martin Babler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Biographical information regarding Mr. Babler is set forth above under the heading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“Proposal 1: Election of Directors — Continuing Directors.”</w:t>
      </w:r>
    </w:p>
    <w:p>
      <w:pPr>
        <w:spacing w:after="0" w:line="74"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Bradley </w:t>
      </w:r>
      <w:r>
        <w:rPr>
          <w:rFonts w:ascii="Times New Roman" w:cs="Times New Roman" w:eastAsia="Times New Roman" w:hAnsi="Times New Roman"/>
          <w:sz w:val="18"/>
          <w:szCs w:val="18"/>
          <w:color w:val="auto"/>
        </w:rPr>
        <w:t>has served as our Chief Development Officer since May 2021. From November 2020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2021, Mr. Bradley served as Senior Vice President and Site Head at The Bristol-Myers Squibb Company, a biopharmaceutical company, after its acquisition of MyoKardia, Inc., a precision medicine company focused on treating cardiovascular diseases, in November 2020. From November 2017 to November 2020, Mr. Bradley held roles of increasing responsibility at MyoKardia, most recently as Senior Vice President, Development. From 2004 to 2017, Mr. Bradley held roles of increasing responsibility at Genentech, Inc., a biopharmaceutical company, most recently as Head, Business Management gRED Clinical Operations. Mr. Bradley began his career at UCSF in public health research. Mr. Bradley received an M.A. and B.A. from University of California, Berkeley.</w:t>
      </w:r>
    </w:p>
    <w:p>
      <w:pPr>
        <w:spacing w:after="0" w:line="11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Jörn Drappa, M.D., Ph.D., </w:t>
      </w:r>
      <w:r>
        <w:rPr>
          <w:rFonts w:ascii="Times New Roman" w:cs="Times New Roman" w:eastAsia="Times New Roman" w:hAnsi="Times New Roman"/>
          <w:sz w:val="18"/>
          <w:szCs w:val="18"/>
          <w:color w:val="auto"/>
        </w:rPr>
        <w:t>has served as our Chief Medical Officer since September 2022.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2018 to March 2021, Dr. Drappa served as the Chief Medical Officer and Head of Research and Development at Viela Bio, Inc., a biotechnology company. From May 2011 to February 2018, Dr. Drappa served in various roles at MedImmune, the biologics division of AstraZeneca plc, including as Vice President of Clinical Development. From August 2008 to May 2011, Dr. Drappa served as Senior Medical Director for the Inflammation and Autoimmune assets at Genentech, Inc., a biopharmaceutical company. Dr. Drappa received his M.D. and a Ph.D. from the University of Cologne in Germany. He performed his postgraduate studies at Cornell Medical School/Hospital for Special Surgery, followed by residency at New York Hospital and rheumatology fellowship at the Hospital for Special Surgery.</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M. Goldstein, Ph.D., </w:t>
      </w:r>
      <w:r>
        <w:rPr>
          <w:rFonts w:ascii="Times New Roman" w:cs="Times New Roman" w:eastAsia="Times New Roman" w:hAnsi="Times New Roman"/>
          <w:sz w:val="18"/>
          <w:szCs w:val="18"/>
          <w:color w:val="auto"/>
        </w:rPr>
        <w:t>has served as our Chief Scientific Officer since September 2021.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2020 to September 2021, Dr. Goldstein served as Site Head and Chief Scientific Officer of Principia Biopharma Inc., a biopharmaceutical company acquired by Sanofi S.A. in September 2020. From March 2016 to September 2020, Dr. Goldstein served in various roles at Principia Biopharma Inc., including as the Chief Scientific Officer from March 2016 to September 2020. From July 1994 to February 2011,</w:t>
      </w:r>
    </w:p>
    <w:p>
      <w:pPr>
        <w:spacing w:after="0" w:line="3"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Dr. Goldstein held positions of increasing responsibility at Roche Holding AG, a pharmaceutical company, most recently serving as Senior Director, Medicinal Chemistry and Head of Inflammation Chemistry.</w:t>
      </w:r>
    </w:p>
    <w:p>
      <w:pPr>
        <w:spacing w:after="0" w:line="1" w:lineRule="exact"/>
        <w:rPr>
          <w:sz w:val="20"/>
          <w:szCs w:val="20"/>
          <w:color w:val="auto"/>
        </w:rPr>
      </w:pPr>
    </w:p>
    <w:p>
      <w:pPr>
        <w:jc w:val="both"/>
        <w:ind w:left="1260" w:right="719"/>
        <w:spacing w:after="0" w:line="255" w:lineRule="auto"/>
        <w:rPr>
          <w:sz w:val="20"/>
          <w:szCs w:val="20"/>
          <w:color w:val="auto"/>
        </w:rPr>
      </w:pPr>
      <w:r>
        <w:rPr>
          <w:rFonts w:ascii="Times New Roman" w:cs="Times New Roman" w:eastAsia="Times New Roman" w:hAnsi="Times New Roman"/>
          <w:sz w:val="18"/>
          <w:szCs w:val="18"/>
          <w:color w:val="auto"/>
        </w:rPr>
        <w:t>Dr. Goldstein was also previously a Consulting Assistant Professor at Stanford University. Dr. Goldstein received a Ph.D. in chemistry from the University of Virginia and a B.A. in chemistry from Franklin and Marshall College.</w:t>
      </w:r>
    </w:p>
    <w:p>
      <w:pPr>
        <w:spacing w:after="0" w:line="114"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 Hardiman </w:t>
      </w:r>
      <w:r>
        <w:rPr>
          <w:rFonts w:ascii="Times New Roman" w:cs="Times New Roman" w:eastAsia="Times New Roman" w:hAnsi="Times New Roman"/>
          <w:sz w:val="18"/>
          <w:szCs w:val="18"/>
          <w:color w:val="auto"/>
        </w:rPr>
        <w:t>has served as our Chief Business and Strategy Officer since January 2025,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Officer since September 2024, and as Chief Business and Legal Officer from September 2021 to September 2024. From January 2015 to September 2020, Mr. Hardiman served as the Chief Business Officer and Chief Legal Officer of Principia Biopharma Inc., a biotechnology company acquired by Sanofi S.A. in 2020. From 2010 to 2012, Mr. Hardiman was a director of Pharmacyclics Inc., a biopharmaceutical company, and chaired its Nominating and Corporate Governance Committee. From 1990 to 2009,</w:t>
      </w:r>
    </w:p>
    <w:p>
      <w:pPr>
        <w:spacing w:after="0" w:line="4"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color w:val="auto"/>
        </w:rPr>
        <w:t>Mr. Hardiman held leadership positions at Genentech, Inc., a biopharmaceutical company, including Vice President of Alliance Management, Vice President, Corporate Law and Assistant Secretary, Director and Far</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8"/>
          <w:szCs w:val="18"/>
          <w:color w:val="auto"/>
        </w:rPr>
        <w:t>East Representative, Business Development. From 1987 to 1990, Mr. Hardiman was an attorney at Morrison</w:t>
      </w:r>
    </w:p>
    <w:p>
      <w:pPr>
        <w:spacing w:after="0" w:line="27" w:lineRule="exact"/>
        <w:rPr>
          <w:sz w:val="20"/>
          <w:szCs w:val="20"/>
          <w:color w:val="auto"/>
        </w:rPr>
      </w:pPr>
    </w:p>
    <w:p>
      <w:pPr>
        <w:ind w:left="1260" w:right="479"/>
        <w:spacing w:after="0" w:line="260" w:lineRule="auto"/>
        <w:tabs>
          <w:tab w:leader="none" w:pos="14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Foerster LLP. Mr. Hardiman received his J.D. from University of California, Los Angeles School of Law, his M.A. in Biology and his B.A. in pharmacology from University of California, Santa Barbara.</w:t>
      </w:r>
    </w:p>
    <w:p>
      <w:pPr>
        <w:spacing w:after="0" w:line="11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Schroer </w:t>
      </w:r>
      <w:r>
        <w:rPr>
          <w:rFonts w:ascii="Times New Roman" w:cs="Times New Roman" w:eastAsia="Times New Roman" w:hAnsi="Times New Roman"/>
          <w:sz w:val="18"/>
          <w:szCs w:val="18"/>
          <w:color w:val="auto"/>
        </w:rPr>
        <w:t>has served as our Chief Financial Officer since May 2022. From February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2022, Mr. Schroer served as Chief Financial Officer at ArsenalBio Inc., a biotechnology company. From May 2018 to December 2020, Mr. Schroer served as Chief Financial Officer and Treasurer at Translate Bio, Inc., a biotechnology company acquired by Sanofi S.A. in 2021. From January 2014 to April 2018, Mr. Schroer served as a director and sector head — healthcare at Allianz Global Investors, a global asset management company. From 2009 to December 2013, Mr. Schroer served as President and Chief Investment Officer at Schroer Capital, LP, a financial services company that he founded. Mr. Schroer received a B.S. in History and International Relations and an M.B.A. from the University of Wisconsin-Madison.</w:t>
      </w:r>
    </w:p>
    <w:p>
      <w:pPr>
        <w:spacing w:after="0" w:line="333"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Sanam Pangali, J.D.</w:t>
      </w:r>
      <w:r>
        <w:rPr>
          <w:rFonts w:ascii="Times New Roman" w:cs="Times New Roman" w:eastAsia="Times New Roman" w:hAnsi="Times New Roman"/>
          <w:sz w:val="18"/>
          <w:szCs w:val="18"/>
          <w:color w:val="auto"/>
        </w:rPr>
        <w:t>, has served as our Chief Legal Officer since July 2025. Prior to this, she held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 of Senior Vice President, Legal from September 2024 to July 2025. From November 2022 to September 2024, Ms. Pangali served in various leadership roles at ACELYRIN, Inc., including as Chief Legal Officer and Head of People from May 2024 to September 2024, Senior Vice President, Corporate Legal from October 2023 to May 2024 and Vice President, Corporate Legal from November 2022 to October 2023. Previously, Ms. Pangali was General Counsel at Snapdocs, Inc. from 2020 to 2021 and from 2019 through its acquisition by Sanofi S.A. in 2020, she served as Senior Director &amp; Associate General Counsel at Principia Biopharma Inc. Between 2013 and 2019, Ms. Pangali held in-house legal roles after beginning her legal career in the Business &amp; Finance practice groups at Morrison &amp; Foerster LLP.</w:t>
      </w:r>
    </w:p>
    <w:p>
      <w:pPr>
        <w:spacing w:after="0" w:line="3" w:lineRule="exact"/>
        <w:rPr>
          <w:sz w:val="20"/>
          <w:szCs w:val="20"/>
          <w:color w:val="auto"/>
        </w:rPr>
      </w:pPr>
    </w:p>
    <w:p>
      <w:pPr>
        <w:ind w:left="1260" w:right="779"/>
        <w:spacing w:after="0" w:line="260" w:lineRule="auto"/>
        <w:rPr>
          <w:sz w:val="20"/>
          <w:szCs w:val="20"/>
          <w:color w:val="auto"/>
        </w:rPr>
      </w:pPr>
      <w:r>
        <w:rPr>
          <w:rFonts w:ascii="Times New Roman" w:cs="Times New Roman" w:eastAsia="Times New Roman" w:hAnsi="Times New Roman"/>
          <w:sz w:val="18"/>
          <w:szCs w:val="18"/>
          <w:color w:val="auto"/>
        </w:rPr>
        <w:t>Ms. Pangali earned her J.D. from the University of Pennsylvania Carey Law School and holds a B.A. in Political Science, with a minor in Economics, from the University of California, San Diego.</w:t>
      </w:r>
    </w:p>
    <w:p>
      <w:pPr>
        <w:spacing w:after="0" w:line="100"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and holds office until the executive officer’s successor is duly elected and qualified or until the executive officer’s earlier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capital stock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5, 2026 by:</w:t>
      </w:r>
    </w:p>
    <w:p>
      <w:pPr>
        <w:spacing w:after="0" w:line="84" w:lineRule="exact"/>
        <w:rPr>
          <w:sz w:val="20"/>
          <w:szCs w:val="20"/>
          <w:color w:val="auto"/>
        </w:rPr>
      </w:pPr>
    </w:p>
    <w:p>
      <w:pPr>
        <w:ind w:left="1800" w:right="1640"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its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58" w:lineRule="exact"/>
        <w:rPr>
          <w:sz w:val="20"/>
          <w:szCs w:val="20"/>
          <w:color w:val="auto"/>
        </w:rPr>
      </w:pPr>
    </w:p>
    <w:p>
      <w:pPr>
        <w:ind w:left="1260" w:right="1320" w:firstLine="360"/>
        <w:spacing w:after="0" w:line="24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14" w:lineRule="exact"/>
        <w:rPr>
          <w:sz w:val="20"/>
          <w:szCs w:val="20"/>
          <w:color w:val="auto"/>
        </w:rPr>
      </w:pPr>
    </w:p>
    <w:p>
      <w:pPr>
        <w:jc w:val="both"/>
        <w:ind w:left="1260" w:right="1280" w:firstLine="360"/>
        <w:spacing w:after="0" w:line="243" w:lineRule="auto"/>
        <w:rPr>
          <w:sz w:val="20"/>
          <w:szCs w:val="20"/>
          <w:color w:val="auto"/>
        </w:rPr>
      </w:pPr>
      <w:r>
        <w:rPr>
          <w:rFonts w:ascii="Times New Roman" w:cs="Times New Roman" w:eastAsia="Times New Roman" w:hAnsi="Times New Roman"/>
          <w:sz w:val="18"/>
          <w:szCs w:val="18"/>
          <w:color w:val="auto"/>
        </w:rPr>
        <w:t>Applicable percentage ownership is based on 123,432,072 shares of our common stock eligible to vote and 4,059,908 shares of our non-voting common stock outstanding as of May 5, 2026. We have deemed the number of shares of common stock that a person has the right to acquire within 60 days after the date of this table (which includes the number of shares of non-voting common stock owned by such person to the extent they can be converted to common stock within 60 days after the date of this table), to be outstanding and to be beneficially owned by the person for the purpose of computing the percentage ownership of that person. We do not deem these shares outstanding, however, for the purpose of computing the percentage ownership of any other person.</w:t>
      </w:r>
    </w:p>
    <w:p>
      <w:pPr>
        <w:spacing w:after="0" w:line="329" w:lineRule="exact"/>
        <w:rPr>
          <w:sz w:val="20"/>
          <w:szCs w:val="20"/>
          <w:color w:val="auto"/>
        </w:rPr>
      </w:pPr>
    </w:p>
    <w:p>
      <w:pPr>
        <w:ind w:left="1260" w:right="1380" w:firstLine="360"/>
        <w:spacing w:after="0" w:line="247" w:lineRule="auto"/>
        <w:rPr>
          <w:sz w:val="20"/>
          <w:szCs w:val="20"/>
          <w:color w:val="auto"/>
        </w:rPr>
      </w:pPr>
      <w:r>
        <w:rPr>
          <w:rFonts w:ascii="Times New Roman" w:cs="Times New Roman" w:eastAsia="Times New Roman" w:hAnsi="Times New Roman"/>
          <w:sz w:val="18"/>
          <w:szCs w:val="18"/>
          <w:color w:val="auto"/>
        </w:rPr>
        <w:t>The table below does not reflect 4,059,908 shares of non-voting common stock held by affiliated holders subject to an ownership limitation in our amended and restated certificate of incorporation that prevents the conversion of such shares if, upon conversion, the converting holder and its affiliates would beneficially own in the aggregate, directly or indirectly, shares of voting common stock in excess of 4.99% of all shares outstanding at such time. The restriction can be waived by the holders upon 61 days’ prior written notice to us.</w:t>
      </w:r>
    </w:p>
    <w:p>
      <w:pPr>
        <w:spacing w:after="0" w:line="325" w:lineRule="exact"/>
        <w:rPr>
          <w:sz w:val="20"/>
          <w:szCs w:val="20"/>
          <w:color w:val="auto"/>
        </w:rPr>
      </w:pPr>
    </w:p>
    <w:p>
      <w:pPr>
        <w:ind w:left="1260" w:right="1260"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Alumis Inc., 280 East Grand Avenue, South San Francisco, CA 94080.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Voting Common Stock</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1260" w:type="dxa"/>
            <w:vAlign w:val="bottom"/>
          </w:tcPr>
          <w:p>
            <w:pPr>
              <w:spacing w:after="0"/>
              <w:rPr>
                <w:sz w:val="3"/>
                <w:szCs w:val="3"/>
                <w:color w:val="auto"/>
              </w:rPr>
            </w:pPr>
          </w:p>
        </w:tc>
        <w:tc>
          <w:tcPr>
            <w:tcW w:w="5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260" w:type="dxa"/>
            <w:vAlign w:val="bottom"/>
          </w:tcPr>
          <w:p>
            <w:pPr>
              <w:spacing w:after="0"/>
              <w:rPr>
                <w:sz w:val="3"/>
                <w:szCs w:val="3"/>
                <w:color w:val="auto"/>
              </w:rPr>
            </w:pPr>
          </w:p>
        </w:tc>
      </w:tr>
      <w:tr>
        <w:trPr>
          <w:trHeight w:val="171"/>
        </w:trPr>
        <w:tc>
          <w:tcPr>
            <w:tcW w:w="12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6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Beneficially Owned</w:t>
            </w:r>
          </w:p>
        </w:tc>
        <w:tc>
          <w:tcPr>
            <w:tcW w:w="2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Voting Power</w:t>
            </w:r>
          </w:p>
        </w:tc>
        <w:tc>
          <w:tcPr>
            <w:tcW w:w="126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Foresite Capital Management</w:t>
            </w:r>
            <w:r>
              <w:rPr>
                <w:rFonts w:ascii="Times New Roman" w:cs="Times New Roman" w:eastAsia="Times New Roman" w:hAnsi="Times New Roman"/>
                <w:sz w:val="23"/>
                <w:szCs w:val="23"/>
                <w:color w:val="auto"/>
                <w:vertAlign w:val="superscript"/>
              </w:rPr>
              <w:t>(1)</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​15,693,820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​12.7%</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AyurMaya Capital Management Fund, LP</w:t>
            </w:r>
            <w:r>
              <w:rPr>
                <w:rFonts w:ascii="Times New Roman" w:cs="Times New Roman" w:eastAsia="Times New Roman" w:hAnsi="Times New Roman"/>
                <w:sz w:val="23"/>
                <w:szCs w:val="23"/>
                <w:color w:val="auto"/>
                <w:vertAlign w:val="superscript"/>
              </w:rPr>
              <w:t>(2)</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​15,139,707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​12.3%</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Deep Track Capital, LP</w:t>
            </w:r>
            <w:r>
              <w:rPr>
                <w:rFonts w:ascii="Times New Roman" w:cs="Times New Roman" w:eastAsia="Times New Roman" w:hAnsi="Times New Roman"/>
                <w:sz w:val="23"/>
                <w:szCs w:val="23"/>
                <w:color w:val="auto"/>
                <w:vertAlign w:val="superscript"/>
              </w:rPr>
              <w:t>(3)</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7,362,035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6.0%</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Samsara BioCapital, L.P.</w:t>
            </w:r>
            <w:r>
              <w:rPr>
                <w:rFonts w:ascii="Times New Roman" w:cs="Times New Roman" w:eastAsia="Times New Roman" w:hAnsi="Times New Roman"/>
                <w:sz w:val="23"/>
                <w:szCs w:val="23"/>
                <w:color w:val="auto"/>
                <w:vertAlign w:val="superscript"/>
              </w:rPr>
              <w:t>(4)</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6,345,219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5.1%</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60" w:type="dxa"/>
            <w:vAlign w:val="bottom"/>
          </w:tcPr>
          <w:p>
            <w:pPr>
              <w:spacing w:after="0"/>
              <w:rPr>
                <w:sz w:val="21"/>
                <w:szCs w:val="21"/>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Babler</w:t>
            </w:r>
            <w:r>
              <w:rPr>
                <w:rFonts w:ascii="Times New Roman" w:cs="Times New Roman" w:eastAsia="Times New Roman" w:hAnsi="Times New Roman"/>
                <w:sz w:val="23"/>
                <w:szCs w:val="23"/>
                <w:color w:val="auto"/>
                <w:vertAlign w:val="superscript"/>
              </w:rPr>
              <w:t>(5)</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2,653,697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2.1%</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Goldstein, Ph.D.</w:t>
            </w:r>
            <w:r>
              <w:rPr>
                <w:rFonts w:ascii="Times New Roman" w:cs="Times New Roman" w:eastAsia="Times New Roman" w:hAnsi="Times New Roman"/>
                <w:sz w:val="23"/>
                <w:szCs w:val="23"/>
                <w:color w:val="auto"/>
                <w:vertAlign w:val="superscript"/>
              </w:rPr>
              <w:t>(6)</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797,691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Jörn Drappa, M.D., Ph.D.</w:t>
            </w:r>
            <w:r>
              <w:rPr>
                <w:rFonts w:ascii="Times New Roman" w:cs="Times New Roman" w:eastAsia="Times New Roman" w:hAnsi="Times New Roman"/>
                <w:sz w:val="23"/>
                <w:szCs w:val="23"/>
                <w:color w:val="auto"/>
                <w:vertAlign w:val="superscript"/>
              </w:rPr>
              <w:t>(7)</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544,398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Srinivas Akkaraju, M.D., Ph.D.</w:t>
            </w:r>
            <w:r>
              <w:rPr>
                <w:rFonts w:ascii="Times New Roman" w:cs="Times New Roman" w:eastAsia="Times New Roman" w:hAnsi="Times New Roman"/>
                <w:sz w:val="23"/>
                <w:szCs w:val="23"/>
                <w:color w:val="auto"/>
                <w:vertAlign w:val="superscript"/>
              </w:rPr>
              <w:t>(4)</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6,345,219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5.1%</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Colowick, M.D., M.P.H.</w:t>
            </w:r>
            <w:r>
              <w:rPr>
                <w:rFonts w:ascii="Times New Roman" w:cs="Times New Roman" w:eastAsia="Times New Roman" w:hAnsi="Times New Roman"/>
                <w:sz w:val="23"/>
                <w:szCs w:val="23"/>
                <w:color w:val="auto"/>
                <w:vertAlign w:val="superscript"/>
              </w:rPr>
              <w:t>(8)</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​15,158,111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​12.3%</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Machado, J.D.</w:t>
            </w:r>
            <w:r>
              <w:rPr>
                <w:rFonts w:ascii="Times New Roman" w:cs="Times New Roman" w:eastAsia="Times New Roman" w:hAnsi="Times New Roman"/>
                <w:sz w:val="23"/>
                <w:szCs w:val="23"/>
                <w:color w:val="auto"/>
                <w:vertAlign w:val="superscript"/>
              </w:rPr>
              <w:t>(9)</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162,781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Sapna Srivastava, Ph.D.</w:t>
            </w:r>
            <w:r>
              <w:rPr>
                <w:rFonts w:ascii="Times New Roman" w:cs="Times New Roman" w:eastAsia="Times New Roman" w:hAnsi="Times New Roman"/>
                <w:sz w:val="23"/>
                <w:szCs w:val="23"/>
                <w:color w:val="auto"/>
                <w:vertAlign w:val="superscript"/>
              </w:rPr>
              <w:t>(10)</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49,197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5"/>
        </w:trPr>
        <w:tc>
          <w:tcPr>
            <w:tcW w:w="126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 Tananbaum, M.D.</w:t>
            </w:r>
            <w:r>
              <w:rPr>
                <w:rFonts w:ascii="Times New Roman" w:cs="Times New Roman" w:eastAsia="Times New Roman" w:hAnsi="Times New Roman"/>
                <w:sz w:val="23"/>
                <w:szCs w:val="23"/>
                <w:color w:val="auto"/>
                <w:vertAlign w:val="superscript"/>
              </w:rPr>
              <w:t>(1)</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​15,693,820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​12.7%</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52"/>
        </w:trPr>
        <w:tc>
          <w:tcPr>
            <w:tcW w:w="1260" w:type="dxa"/>
            <w:vAlign w:val="bottom"/>
          </w:tcPr>
          <w:p>
            <w:pPr>
              <w:spacing w:after="0"/>
              <w:rPr>
                <w:sz w:val="24"/>
                <w:szCs w:val="24"/>
                <w:color w:val="auto"/>
              </w:rPr>
            </w:pPr>
          </w:p>
        </w:tc>
        <w:tc>
          <w:tcPr>
            <w:tcW w:w="580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-3025140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-3025140</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Voting Common Stock</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7"/>
        </w:trPr>
        <w:tc>
          <w:tcPr>
            <w:tcW w:w="5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r>
      <w:tr>
        <w:trPr>
          <w:trHeight w:val="171"/>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60" w:type="dxa"/>
            <w:vAlign w:val="bottom"/>
          </w:tcPr>
          <w:p>
            <w:pPr>
              <w:spacing w:after="0"/>
              <w:rPr>
                <w:sz w:val="14"/>
                <w:szCs w:val="14"/>
                <w:color w:val="auto"/>
              </w:rPr>
            </w:pPr>
          </w:p>
        </w:tc>
      </w:tr>
      <w:tr>
        <w:trPr>
          <w:trHeight w:val="190"/>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22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Voting Power</w:t>
            </w:r>
          </w:p>
        </w:tc>
        <w:tc>
          <w:tcPr>
            <w:tcW w:w="60" w:type="dxa"/>
            <w:vAlign w:val="bottom"/>
          </w:tcPr>
          <w:p>
            <w:pPr>
              <w:spacing w:after="0"/>
              <w:rPr>
                <w:sz w:val="16"/>
                <w:szCs w:val="16"/>
                <w:color w:val="auto"/>
              </w:rPr>
            </w:pPr>
          </w:p>
        </w:tc>
      </w:tr>
      <w:tr>
        <w:trPr>
          <w:trHeight w:val="23"/>
        </w:trPr>
        <w:tc>
          <w:tcPr>
            <w:tcW w:w="5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Tetrault, J.D.</w:t>
            </w:r>
            <w:r>
              <w:rPr>
                <w:rFonts w:ascii="Times New Roman" w:cs="Times New Roman" w:eastAsia="Times New Roman" w:hAnsi="Times New Roman"/>
                <w:sz w:val="23"/>
                <w:szCs w:val="23"/>
                <w:color w:val="auto"/>
                <w:vertAlign w:val="superscript"/>
              </w:rPr>
              <w:t>(11)</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64,331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Zhengbin (Bing) Yao, Ph.D.</w:t>
            </w:r>
            <w:r>
              <w:rPr>
                <w:rFonts w:ascii="Times New Roman" w:cs="Times New Roman" w:eastAsia="Times New Roman" w:hAnsi="Times New Roman"/>
                <w:sz w:val="23"/>
                <w:szCs w:val="23"/>
                <w:color w:val="auto"/>
                <w:vertAlign w:val="superscript"/>
              </w:rPr>
              <w:t>(12)</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48,484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(14 persons)</w:t>
            </w:r>
            <w:r>
              <w:rPr>
                <w:rFonts w:ascii="Times New Roman" w:cs="Times New Roman" w:eastAsia="Times New Roman" w:hAnsi="Times New Roman"/>
                <w:sz w:val="23"/>
                <w:szCs w:val="23"/>
                <w:color w:val="auto"/>
                <w:vertAlign w:val="superscript"/>
              </w:rPr>
              <w:t>(13)</w:t>
            </w:r>
          </w:p>
        </w:tc>
        <w:tc>
          <w:tcPr>
            <w:tcW w:w="11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​43,477,487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-548005</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-548005</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77" w:lineRule="exact"/>
        <w:rPr>
          <w:sz w:val="20"/>
          <w:szCs w:val="20"/>
          <w:color w:val="auto"/>
        </w:rPr>
      </w:pPr>
    </w:p>
    <w:p>
      <w:pPr>
        <w:ind w:left="1620" w:right="459" w:hanging="360"/>
        <w:spacing w:after="0" w:line="253"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the Schedule 13D/A filed with the SEC on April 3, 2026 by Foresite Capital Fund VI, L.P. (“Fund VI”), Foresite Capital Management VI, LLC (“FCM VI”), Foresite Capital Fund V, L.P. (“Fund V”), Labs Co-Invest V, LLC (“Labs Co-Invest”), Foresite Capital Management V, LLC (“FCM V”), Foresite Capital Opportunity Fund V, L.P. (“Opportunity Fund V”), Foresite Capital Opportunity Management V, LLC (“FCOM V”), Foresite Labs Fund I, L.P. (“Labs Fund I”), Foresite Labs Management I, LLC (“FLM I”), Foresite Labs Affiliates 2021, LLC (“Labs Affiliates”), Foresite Labs, LLC (“Labs”) and James B. Tananbaum. The shares consist of (i) 4,247,670 shares of common stock held by Fund VI, (ii) 5,702,536 shares of common stock held by Fund V,</w:t>
      </w:r>
    </w:p>
    <w:p>
      <w:pPr>
        <w:ind w:left="1620" w:right="579"/>
        <w:spacing w:after="0" w:line="250" w:lineRule="auto"/>
        <w:tabs>
          <w:tab w:leader="none" w:pos="19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194,459 shares of common stock held by Labs Co-Invest, (iv) 2,908,332 shares of common stock held by Opportunity Fund V, (v) 1,960,337 shares of common stock held by Labs Fund I, and</w:t>
      </w:r>
    </w:p>
    <w:p>
      <w:pPr>
        <w:ind w:left="1620" w:right="439"/>
        <w:spacing w:after="0" w:line="250" w:lineRule="auto"/>
        <w:tabs>
          <w:tab w:leader="none" w:pos="194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680,486 shares of common stock held by TFL Investment Holdings, LLC (“TFL”). James B. Tananbaum, M.D., is a member of our Board. FCM V is the general partner of Fund V and may be deemed to have sole voting and dispositive power over the shares held by Fund V; FCM VI is the general partner of Fund VI and may be deemed to have sole voting and dispositive power over the shares held by Fund VI; FCOM V is the general partner of Opportunity Fund V and may be deemed to have sole voting and dispositive power over the shares held by Opportunity Fund V; FCM V is the managing member of Labs Co-Invest and may be deemed to have sole voting and dispositive power over the shares held by Labs Co-Invest; Foresite Labs, LLC is the managing member of Labs Affiliates and may be deemed to have sole voting and dispositive power over the shares held by Labs Affiliates; and FLM I is the general partner of Labs Fund I and may be deemed to have sole voting and dispositive power over the shares held by Labs Fund I. Dr. Tananbaum is the managing member of FCM V, FCM VI, FCOM V and FLM I and may be deemed to have sole voting and dispositive power over shares held by Fund VI, Fund V, Labs Co-Invest, Opportunity Fund V and Labs Fund I. Dr. Tananbaum is the manager of Labs and may be deemed to have shared voting power and sole dispositive power over the shares held by Labs Affiliates. Dr. Tananbaum is the manager of TFL, and James B. Tananbaum and Dana Shonfeld Tananbaum Family Trust, of which Dr. Tananbaum is a trustee, is the sole member of TFL. Each entity and Dr. Tananbaum disclaims beneficial ownership of these shares except to the extent of their respective pecuniary interests therein. The business address of Dr. Tananbaum and each of Fund VI, FCM VI, Fund V, Labs Co-Invest, FCM V, Opportunity Fund V, FCOM V, Labs Fund I, and FLM I is 900 Larkspur Landing Circle, Suite 150, Larkspur, CA 94939. The business address of each of Labs Affiliates and Labs is c/o Foresite Labs, LLC, 101 Mission Street, 12th Floor, San Francisco, CA 94105.</w:t>
      </w:r>
    </w:p>
    <w:p>
      <w:pPr>
        <w:spacing w:after="0" w:line="286" w:lineRule="exact"/>
        <w:rPr>
          <w:rFonts w:ascii="Times New Roman" w:cs="Times New Roman" w:eastAsia="Times New Roman" w:hAnsi="Times New Roman"/>
          <w:sz w:val="18"/>
          <w:szCs w:val="18"/>
          <w:color w:val="auto"/>
        </w:rPr>
      </w:pPr>
    </w:p>
    <w:p>
      <w:pPr>
        <w:ind w:left="1620" w:right="419" w:hanging="360"/>
        <w:spacing w:after="0" w:line="253"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the Schedule 13D/A filed with the SEC on May 23, 2025 by AyurMaya Capital Management Company, LP (the “Investment Manager”) and David E. Goel. The shares consist of 15,139,707 shares of common stock held by the AyurMaya Capital Management Fund, LP (“AyurMaya Fund”). The Investment Manager, a Delaware limited partnership, serves as the investment advisor to the AyurMaya Fund with respect to the securities directly held by the AyurMaya Fund. Mr. Goel serves as the Managing Member of AyurMaya Capital Management Company GP, LLC, the general partner of the Investment Manager, and may be deemed to possess shared voting and dispositive power with respect to the securities directly held by the AyurMaya Fund. Alan Colowick, a Senior Managing Director of Matrix Capital Management Company LP, an affiliate of the Investment Manager, serves on our Board. The business address for each of the AyurMaya Fund, the Investment Manager and Mr. Goel is c/o AyurMaya Capital Management LP, 3 Pleasant Street, Suite 400, Portsmouth, NH 03801.</w:t>
      </w:r>
    </w:p>
    <w:p>
      <w:pPr>
        <w:spacing w:after="0" w:line="259"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the Schedule 13G filed with the SEC on April 7, 2026 by Deep Track Capital, LP (“Deep Track Capital”), Deep Track Biotechnology Master Fund, Ltd. (“Deep Track Biotechnology Fund”) and David Kroin. Deep Track Capital, Deep Track Biotechnology Fund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55" w:lineRule="auto"/>
        <w:rPr>
          <w:sz w:val="20"/>
          <w:szCs w:val="20"/>
          <w:color w:val="auto"/>
        </w:rPr>
      </w:pPr>
      <w:r>
        <w:rPr>
          <w:rFonts w:ascii="Times New Roman" w:cs="Times New Roman" w:eastAsia="Times New Roman" w:hAnsi="Times New Roman"/>
          <w:sz w:val="18"/>
          <w:szCs w:val="18"/>
          <w:color w:val="auto"/>
        </w:rPr>
        <w:t>and David Kroin may each be deemed to beneficially own all of the shares and each has shared voting and dispositive power over the shares. Deep Track Biotechnology Fund is a wholly owned subsidiary of Deep Track Capital. Deep Track Capital and Deep Track Biotechnology Fund are controlled by its founder, David Kroin. The address for Deep Track Capital is 200 Greenwich Ave, 3rd Floor, Greenwich, CT 06830. The address for Deep Track Biotechnology Fund is c/o Walkers Corporate Limited, 190 Elgin Ave, George Town, KY1-9001, Cayman Islands. The address for Mr. Kroin is c/o Deep Track Capital, LP, 200 Greenwich Ave, 3rd Floor, Greenwich, CT 06830.</w:t>
      </w:r>
    </w:p>
    <w:p>
      <w:pPr>
        <w:spacing w:after="0" w:line="54" w:lineRule="exact"/>
        <w:rPr>
          <w:sz w:val="20"/>
          <w:szCs w:val="20"/>
          <w:color w:val="auto"/>
        </w:rPr>
      </w:pPr>
    </w:p>
    <w:p>
      <w:pPr>
        <w:ind w:left="1620" w:right="459" w:hanging="360"/>
        <w:spacing w:after="0" w:line="253"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the Schedule 13D/A filed with the SEC on January 13, 2026 by Samsara BioCapital, L.P. (“Samsara LP”), Samsara BioCapital GP, LLC (“Samsara GP”), Samsara Opportunity Fund, L.P. (“Samsara Opportunity Fund”), Samsara Opportunity Fund GP, LLC (“Samsara Opportunity GP”) and Dr. Srinivas Akkaraju. The shares consist of (i) 4,491,731 shares of common stock held by Samsara LP and (ii) 1,853,488 shares of common stock held by Samsara Opportunity Fund. Samsara GP is the general partner of Samsara LP and Samsara Opportunity GP is the general partner of Samsara Opportunity Fund. Dr. Akkaraju is the managing member of Samsara GP and Samsara Opportunity GP and shares voting and investment authority over the shares held by Samsara LP and Samsara Opportunity Fund. Dr. Akkaraju is a member of our Board. The business address of Dr. Akkaraju and each of the entities listed above is 628 Middlefield Road, Palo Alto, CA 94301. Samsara GP and Samsara Opportunity Fund disclaims beneficial ownership in these shares except to the extent of its respective pecuniary interest therein.</w:t>
      </w:r>
    </w:p>
    <w:p>
      <w:pPr>
        <w:spacing w:after="0" w:line="41" w:lineRule="exact"/>
        <w:rPr>
          <w:rFonts w:ascii="Times New Roman" w:cs="Times New Roman" w:eastAsia="Times New Roman" w:hAnsi="Times New Roman"/>
          <w:sz w:val="18"/>
          <w:szCs w:val="18"/>
          <w:color w:val="auto"/>
        </w:rPr>
      </w:pPr>
    </w:p>
    <w:p>
      <w:pPr>
        <w:ind w:left="1620" w:right="419" w:hanging="360"/>
        <w:spacing w:after="0" w:line="254"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4,037 shares of common stock held of record by Mr. Babler, (ii) 106,454 shares of common stock held of record by the Martin Babler revocable trust UAD October 25, 2006, for which Martin Babler serves as a trustee, and (iii) 2,543,206 shares of common stock subject to options that are exercisable within 60 days of May 5, 2026. Mr. Babler holds sole voting and dispositive power with respect to the shares held by the Martin Babler revocable trust UAD October 25, 2006. Includes</w:t>
      </w:r>
    </w:p>
    <w:p>
      <w:pPr>
        <w:spacing w:after="0" w:line="3" w:lineRule="exact"/>
        <w:rPr>
          <w:rFonts w:ascii="Times New Roman" w:cs="Times New Roman" w:eastAsia="Times New Roman" w:hAnsi="Times New Roman"/>
          <w:sz w:val="18"/>
          <w:szCs w:val="18"/>
          <w:color w:val="auto"/>
        </w:rPr>
      </w:pPr>
    </w:p>
    <w:p>
      <w:pPr>
        <w:ind w:left="1620" w:right="4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478,288 shares of common stock subject to option awards granted under our 2024 Performance Option Plan (the “2024 POP”) that are early exercisable only upon satisfaction of the Performance Condition (as defined in “Executive and Director Compensation — Outstanding Equity Awards at Fiscal Year End” below).</w:t>
      </w:r>
    </w:p>
    <w:p>
      <w:pPr>
        <w:spacing w:after="0" w:line="40" w:lineRule="exact"/>
        <w:rPr>
          <w:rFonts w:ascii="Times New Roman" w:cs="Times New Roman" w:eastAsia="Times New Roman" w:hAnsi="Times New Roman"/>
          <w:sz w:val="18"/>
          <w:szCs w:val="18"/>
          <w:color w:val="auto"/>
        </w:rPr>
      </w:pPr>
    </w:p>
    <w:p>
      <w:pPr>
        <w:ind w:left="1620" w:right="499" w:hanging="360"/>
        <w:spacing w:after="0" w:line="254"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4,389 shares of common stock held of record by Dr. Goldstein, (ii) 208,237 shares of common stock held of record by the Baily Goldstein Living Trust dated March 4, 2014, for which Dr. Goldstein serves as a trustee, (iii) 8,994 shares of common stock held of record by family members of Dr. Goldstein residing in his primary residence and (iv) 576,071 shares of common stock subject to options that are exercisable within 60 days of May 5, 2026. Dr. Goldstein holds shared voting and dispositive power with respect to the shares held by the Baily Goldstein Living Trust dated March 4, 2014. Includes 206,074 shares of common stock subject to option awards granted under our 2024 POP that are early exercisable only upon satisfaction of the Performance Condition.</w:t>
      </w:r>
    </w:p>
    <w:p>
      <w:pPr>
        <w:spacing w:after="0" w:line="56"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4,037 shares of common stock held of record by Dr. Drappa and (ii) 540,361 shares of common stock subject to options that are exercisable within 60 days of May 5, 2026. Includes 70,802 shares of common stock subject to option awards granted under our 2024 POP that are early exercisable only upon satisfaction of the Performance Condition.</w:t>
      </w:r>
    </w:p>
    <w:p>
      <w:pPr>
        <w:spacing w:after="0" w:line="31" w:lineRule="exact"/>
        <w:rPr>
          <w:rFonts w:ascii="Times New Roman" w:cs="Times New Roman" w:eastAsia="Times New Roman" w:hAnsi="Times New Roman"/>
          <w:sz w:val="18"/>
          <w:szCs w:val="18"/>
          <w:color w:val="auto"/>
        </w:rPr>
      </w:pPr>
    </w:p>
    <w:p>
      <w:pPr>
        <w:ind w:left="1620" w:right="699" w:hanging="360"/>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18,404 shares of common stock held by The Colowick Trust, for which Dr. Colowick serves as trustee, and (ii) the shares of common stock described in footnote (2) above, over which Dr. Colowick may be deemed to hold voting and dispositive power.</w:t>
      </w:r>
    </w:p>
    <w:p>
      <w:pPr>
        <w:spacing w:after="0" w:line="27" w:lineRule="exact"/>
        <w:rPr>
          <w:rFonts w:ascii="Times New Roman" w:cs="Times New Roman" w:eastAsia="Times New Roman" w:hAnsi="Times New Roman"/>
          <w:sz w:val="18"/>
          <w:szCs w:val="18"/>
          <w:color w:val="auto"/>
        </w:rPr>
      </w:pPr>
    </w:p>
    <w:p>
      <w:pPr>
        <w:jc w:val="both"/>
        <w:ind w:left="1620" w:right="579" w:hanging="360"/>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7,064 shares of common stock held of record by Patrick Machado Revocable Trust, for which Mr. Machado serves as trustee, and (ii) 155,717 shares of common stock subject to options that are exercisable within 60 days of May 5, 2026.</w:t>
      </w:r>
    </w:p>
    <w:p>
      <w:pPr>
        <w:spacing w:after="0" w:line="40"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49,197 shares of common stock subject to options that are exercisable within 60 days of May 5, 2026.</w:t>
      </w:r>
    </w:p>
    <w:p>
      <w:pPr>
        <w:spacing w:after="0" w:line="13"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64,331 shares of common stock subject to options that are exercisable within 60 days of May 5, 2026.</w:t>
      </w:r>
    </w:p>
    <w:p>
      <w:pPr>
        <w:spacing w:after="0" w:line="13" w:lineRule="exact"/>
        <w:rPr>
          <w:rFonts w:ascii="Times New Roman" w:cs="Times New Roman" w:eastAsia="Times New Roman" w:hAnsi="Times New Roman"/>
          <w:sz w:val="18"/>
          <w:szCs w:val="18"/>
          <w:color w:val="auto"/>
        </w:rPr>
      </w:pPr>
    </w:p>
    <w:p>
      <w:pPr>
        <w:ind w:left="1620" w:right="899" w:hanging="360"/>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23,529 shares of common stock held of record by Dr. Yao and (ii) 24,955 shares of common stock subject to options that are exercisable within 60 days of May 5, 2026.</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61"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37,812,887 shares of common stock beneficially owned by our current executive officers and directors and (ii) 5,664,600 shares of common stock subject to options that are exercisable within 60 days of May 5, 2026. Includes 1,172,520 shares of common stock subject to option awards granted under our 2024 POP that are early exercisable only upon satisfaction of the Performance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62"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Our named executive officers, including our principal executive officer and the two most highly compensated executive officers, as of December 31, 2025, were:</w:t>
      </w:r>
    </w:p>
    <w:p>
      <w:pPr>
        <w:spacing w:after="0" w:line="54"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Babler, our President and Chief Executive Officer;</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 Goldstein, Ph.D., our Chief Scientific Officer;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Jörn Drappa, M.D., Ph.D., our Chief Medical Officer.</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2025 and 2024, as applicable.</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43"/>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Babler</w:t>
            </w:r>
          </w:p>
        </w:tc>
        <w:tc>
          <w:tcPr>
            <w:tcW w:w="38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680,830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4,743,220</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524,239</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5,948,289</w:t>
            </w:r>
          </w:p>
        </w:tc>
      </w:tr>
      <w:tr>
        <w:trPr>
          <w:trHeight w:val="236"/>
        </w:trPr>
        <w:tc>
          <w:tcPr>
            <w:tcW w:w="3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Chief Executive Officer,</w:t>
            </w:r>
          </w:p>
        </w:tc>
        <w:tc>
          <w:tcPr>
            <w:tcW w:w="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​605,900</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​9,748,581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​306,738</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​10,661,219</w:t>
            </w:r>
          </w:p>
        </w:tc>
      </w:tr>
      <w:tr>
        <w:trPr>
          <w:trHeight w:val="243"/>
        </w:trPr>
        <w:tc>
          <w:tcPr>
            <w:tcW w:w="3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and Chairman of the Board</w:t>
            </w: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50"/>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M. Goldstein, Ph.D.</w:t>
            </w:r>
          </w:p>
        </w:tc>
        <w:tc>
          <w:tcPr>
            <w:tcW w:w="600" w:type="dxa"/>
            <w:vAlign w:val="bottom"/>
            <w:gridSpan w:val="2"/>
          </w:tcPr>
          <w:p>
            <w:pPr>
              <w:jc w:val="center"/>
              <w:ind w:right="2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820" w:type="dxa"/>
            <w:vAlign w:val="bottom"/>
            <w:gridSpan w:val="2"/>
          </w:tcPr>
          <w:p>
            <w:pPr>
              <w:jc w:val="center"/>
              <w:ind w:right="2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526,401</w:t>
            </w:r>
          </w:p>
        </w:tc>
        <w:tc>
          <w:tcPr>
            <w:tcW w:w="960" w:type="dxa"/>
            <w:vAlign w:val="bottom"/>
            <w:gridSpan w:val="2"/>
          </w:tcPr>
          <w:p>
            <w:pPr>
              <w:jc w:val="center"/>
              <w:ind w:right="2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1,187,353</w:t>
            </w:r>
          </w:p>
        </w:tc>
        <w:tc>
          <w:tcPr>
            <w:tcW w:w="86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294,785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2,008,539</w:t>
            </w:r>
          </w:p>
        </w:tc>
      </w:tr>
      <w:tr>
        <w:trPr>
          <w:trHeight w:val="317"/>
        </w:trPr>
        <w:tc>
          <w:tcPr>
            <w:tcW w:w="39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600" w:type="dxa"/>
            <w:vAlign w:val="bottom"/>
            <w:gridSpan w:val="2"/>
          </w:tcPr>
          <w:p>
            <w:pPr>
              <w:jc w:val="center"/>
              <w:ind w:right="220"/>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2024</w:t>
            </w:r>
          </w:p>
        </w:tc>
        <w:tc>
          <w:tcPr>
            <w:tcW w:w="820" w:type="dxa"/>
            <w:vAlign w:val="bottom"/>
            <w:gridSpan w:val="2"/>
          </w:tcPr>
          <w:p>
            <w:pPr>
              <w:jc w:val="center"/>
              <w:ind w:right="220"/>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466,500</w:t>
            </w:r>
          </w:p>
        </w:tc>
        <w:tc>
          <w:tcPr>
            <w:tcW w:w="960" w:type="dxa"/>
            <w:vAlign w:val="bottom"/>
            <w:gridSpan w:val="2"/>
          </w:tcPr>
          <w:p>
            <w:pPr>
              <w:jc w:val="center"/>
              <w:ind w:right="220"/>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2,593,094</w:t>
            </w:r>
          </w:p>
        </w:tc>
        <w:tc>
          <w:tcPr>
            <w:tcW w:w="860" w:type="dxa"/>
            <w:vAlign w:val="bottom"/>
          </w:tcPr>
          <w:p>
            <w:pPr>
              <w:jc w:val="center"/>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184,868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3,244,462</w:t>
            </w:r>
          </w:p>
        </w:tc>
      </w:tr>
      <w:tr>
        <w:trPr>
          <w:trHeight w:val="223"/>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Jörn Drappa, M.D., Ph.D.</w:t>
            </w:r>
          </w:p>
        </w:tc>
        <w:tc>
          <w:tcPr>
            <w:tcW w:w="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​523,755</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​1,161,607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​293,303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1,978,665</w:t>
            </w:r>
          </w:p>
        </w:tc>
      </w:tr>
      <w:tr>
        <w:trPr>
          <w:trHeight w:val="243"/>
        </w:trPr>
        <w:tc>
          <w:tcPr>
            <w:tcW w:w="39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-1285240</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-1285240</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-1285240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-1285240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-1285240</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620" w:right="519" w:hanging="360"/>
        <w:spacing w:after="0" w:line="253"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option awards granted to our named executive officers, computed in accordance with Financial Accounting Standards Board (“FASB”), Accounting Standards Codification (“ASC”), Topic 718. Such amounts for 2024 also include the incremental fair value of $161,437 and $36,473, for Messrs. Babler and Goldstein, respectively, resulting from the modification of certain stock options on March 29, 2024, which reduced the exercise price of certain outstanding stock options held by Messrs. Babler and Goldstein, to $8.84. The incremental fair value was computed in accordance with FASB ASC Topic 718 as the excess of the fair value of the modified awards over the fair value of the original awards immediately before the modification, based on the assumptions used for financial reporting purposes. The assumptions used in calculating the grant date fair value of the option awards reported in this column are set forth in Note 12 to our consolidated financial statements included in Part II, Item 8 of our 2025 Annual Report on Form 10-K.</w:t>
      </w:r>
    </w:p>
    <w:p>
      <w:pPr>
        <w:spacing w:after="0" w:line="29" w:lineRule="exact"/>
        <w:rPr>
          <w:rFonts w:ascii="Times New Roman" w:cs="Times New Roman" w:eastAsia="Times New Roman" w:hAnsi="Times New Roman"/>
          <w:sz w:val="18"/>
          <w:szCs w:val="18"/>
          <w:color w:val="auto"/>
        </w:rPr>
      </w:pPr>
    </w:p>
    <w:p>
      <w:pPr>
        <w:ind w:left="1620" w:right="659"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annual performance bonuses. For more information, see the description of the annual performance bonuses in the subsection titled “— Narrative to the Summary Compensation Table — 2025 Annual Performance Bonus Opportunity” below.</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Historically, our Board has been responsible for overseeing all aspects of our executive compensation programs.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Our Board has historically determined our executive officers’ compensation and has typically reviewed and discussed management’s proposed compensation with our chief executive officer for all executives other than our chief executive officer. Based on those discussions and its discretion, our Board has then approved the compensation of each executive officer.</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Base salaries for our executive officers are initially established through arm’s-length negotiations at the time of the executive officer’s hiring, taking into account such named executive officer’s qualifications,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1" w:lineRule="auto"/>
        <w:rPr>
          <w:sz w:val="20"/>
          <w:szCs w:val="20"/>
          <w:color w:val="auto"/>
        </w:rPr>
      </w:pPr>
      <w:r>
        <w:rPr>
          <w:rFonts w:ascii="Times New Roman" w:cs="Times New Roman" w:eastAsia="Times New Roman" w:hAnsi="Times New Roman"/>
          <w:sz w:val="18"/>
          <w:szCs w:val="18"/>
          <w:color w:val="auto"/>
        </w:rPr>
        <w:t>experience, the scope of his or her responsibilities and competitive market compensation paid by other companies for similar positions within the industry and geography. Base salaries are reviewed periodically, and adjusted from time to time to realign salaries with market levels after taking into account individual responsibilities, performance and experience.</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2025 annual base salaries for our named executive officers are set forth in the table below.</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2025 Base Salary</w:t>
            </w:r>
          </w:p>
        </w:tc>
        <w:tc>
          <w:tcPr>
            <w:tcW w:w="40" w:type="dxa"/>
            <w:vAlign w:val="bottom"/>
          </w:tcPr>
          <w:p>
            <w:pPr>
              <w:spacing w:after="0"/>
              <w:rPr>
                <w:sz w:val="14"/>
                <w:szCs w:val="14"/>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Babler</w:t>
            </w:r>
          </w:p>
        </w:tc>
        <w:tc>
          <w:tcPr>
            <w:tcW w:w="21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680,830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David M. Goldstein, Ph.D.</w:t>
            </w:r>
          </w:p>
        </w:tc>
        <w:tc>
          <w:tcPr>
            <w:tcW w:w="21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526,401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Jörn Drappa, M.D., Ph.D.</w:t>
            </w:r>
          </w:p>
        </w:tc>
        <w:tc>
          <w:tcPr>
            <w:tcW w:w="2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523,755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-496570</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2025 Annual Performance Bonus Opportunity</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Our executive officers are eligible to earn an annual incentive bonus of up to a percentage of such executive officer’s annual base salary, based on the achievement of pre-established performance objectives determined by the Board.</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2025, each of Mr. Babler, Dr. Goldstein and Dr. Drappa was eligible to receive a target bonus equal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55%, 40% and 40% of their base salary, respectively, based on the achievement of certain corporate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goals. In January 2026, the Board and its Compensation Committee determined that the Company’s 2025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corporate goals were achieved at 140%. As a result, the Compensation Committee of the Board approved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performance bonuses for Mr. Babler, Dr. Goldstein and Dr. Drappa in the amounts of $524,239,</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$294,785 and $293,303, respectively, as reported in the “Non-Equity Incentive Plan Compensation” column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Summary Compensation Table above.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equity award program is the primary vehicle for offering long-term incentives to our executive officers. We believe that equity awards provide our executives with a strong link to our long-term performance, create an ownership culture and help to align the interests of our executives and our stockholders. To date, we have used stock option grants and restricted stock units (“RSUs”) for this purpose because we believe they are an effective means by which to align the long-term interests of our executive officers with those of our stockholders. We believe that our equity awards are an important retention tool for our executive officers, as well as for our other employees. Grants to our executive officers and other employees are made at the discretion of the Board, our Compensation Committee, or an Equity Grant Committee to whom the Board has delegated authority to grant certain equity-based awards under the 2024 Equity Incentive Plan (“2024 EIP”) (excluding grants to certain senior employees, including our executive officers). Other than grants approved by the Equity Grant Committee (which are typically granted on a monthly basis on the tenth of each month), equity-based award grants are not made at any specific time period during a year and we do not otherwise maintain any written policies on the timing of awards of stock options, stock appreciation rights, or similar instruments with option-like features.</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2025 Option Awards</w:t>
      </w:r>
    </w:p>
    <w:p>
      <w:pPr>
        <w:spacing w:after="0" w:line="160"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2025, we granted options to each of our named executive officers, as shown in more detail in the “Outstanding Equity Awards at Fiscal Year End”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62" w:lineRule="exact"/>
        <w:rPr>
          <w:sz w:val="20"/>
          <w:szCs w:val="20"/>
          <w:color w:val="auto"/>
        </w:rPr>
      </w:pPr>
    </w:p>
    <w:p>
      <w:pPr>
        <w:ind w:left="1260" w:right="8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named executive officer as of December 31, 2025.</w:t>
      </w:r>
    </w:p>
    <w:p>
      <w:pPr>
        <w:sectPr>
          <w:pgSz w:w="11900" w:h="16838" w:orient="portrait"/>
          <w:cols w:equalWidth="0" w:num="1">
            <w:col w:w="10220"/>
          </w:cols>
          <w:pgMar w:left="580" w:top="97" w:right="1099" w:bottom="1440" w:gutter="0" w:footer="0" w:header="0"/>
        </w:sectPr>
      </w:pP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wp:posOffset>
            </wp:positionV>
            <wp:extent cx="1474470" cy="2066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74470" cy="2066290"/>
                    </a:xfrm>
                    <a:prstGeom prst="rect">
                      <a:avLst/>
                    </a:prstGeom>
                    <a:noFill/>
                  </pic:spPr>
                </pic:pic>
              </a:graphicData>
            </a:graphic>
          </wp:anchor>
        </w:drawing>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Martin Babler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David M. Goldstein,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1388745</wp:posOffset>
            </wp:positionV>
            <wp:extent cx="1474470" cy="1928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7447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Jörn Drappa, M.D., Ph.D.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5"/>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9"/>
                <w:szCs w:val="19"/>
                <w:color w:val="auto"/>
              </w:rPr>
            </w:pPr>
          </w:p>
        </w:tc>
        <w:tc>
          <w:tcPr>
            <w:tcW w:w="1400" w:type="dxa"/>
            <w:vAlign w:val="bottom"/>
            <w:gridSpan w:val="6"/>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 Awards: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02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4"/>
                <w:szCs w:val="14"/>
                <w:color w:val="auto"/>
              </w:rPr>
            </w:pPr>
          </w:p>
        </w:tc>
        <w:tc>
          <w:tcPr>
            <w:tcW w:w="1020" w:type="dxa"/>
            <w:vAlign w:val="bottom"/>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0" w:type="dxa"/>
            <w:vAlign w:val="bottom"/>
          </w:tcPr>
          <w:p>
            <w:pPr>
              <w:spacing w:after="0"/>
              <w:rPr>
                <w:sz w:val="14"/>
                <w:szCs w:val="14"/>
                <w:color w:val="auto"/>
              </w:rPr>
            </w:pPr>
          </w:p>
        </w:tc>
        <w:tc>
          <w:tcPr>
            <w:tcW w:w="102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that Have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that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Not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40" w:type="dxa"/>
            <w:vAlign w:val="bottom"/>
          </w:tcPr>
          <w:p>
            <w:pPr>
              <w:spacing w:after="0"/>
              <w:rPr>
                <w:sz w:val="14"/>
                <w:szCs w:val="14"/>
                <w:color w:val="auto"/>
              </w:rPr>
            </w:pPr>
          </w:p>
        </w:tc>
        <w:tc>
          <w:tcPr>
            <w:tcW w:w="10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100" w:type="dxa"/>
            <w:vAlign w:val="bottom"/>
          </w:tcPr>
          <w:p>
            <w:pPr>
              <w:spacing w:after="0"/>
              <w:rPr>
                <w:sz w:val="14"/>
                <w:szCs w:val="14"/>
                <w:color w:val="auto"/>
              </w:rPr>
            </w:pPr>
          </w:p>
        </w:tc>
        <w:tc>
          <w:tcPr>
            <w:tcW w:w="1020" w:type="dxa"/>
            <w:vAlign w:val="bottom"/>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160" w:type="dxa"/>
            <w:vAlign w:val="bottom"/>
          </w:tcPr>
          <w:p>
            <w:pPr>
              <w:spacing w:after="0"/>
              <w:rPr>
                <w:sz w:val="14"/>
                <w:szCs w:val="14"/>
                <w:color w:val="auto"/>
              </w:rPr>
            </w:pPr>
          </w:p>
        </w:tc>
        <w:tc>
          <w:tcPr>
            <w:tcW w:w="54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4"/>
                <w:szCs w:val="14"/>
                <w:color w:val="auto"/>
              </w:rPr>
            </w:pPr>
          </w:p>
        </w:tc>
        <w:tc>
          <w:tcPr>
            <w:tcW w:w="920" w:type="dxa"/>
            <w:vAlign w:val="bottom"/>
            <w:gridSpan w:val="4"/>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40" w:type="dxa"/>
            <w:vAlign w:val="bottom"/>
          </w:tcPr>
          <w:p>
            <w:pPr>
              <w:spacing w:after="0"/>
              <w:rPr>
                <w:sz w:val="14"/>
                <w:szCs w:val="14"/>
                <w:color w:val="auto"/>
              </w:rPr>
            </w:pPr>
          </w:p>
        </w:tc>
        <w:tc>
          <w:tcPr>
            <w:tcW w:w="44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2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Date</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00" w:type="dxa"/>
            <w:vAlign w:val="bottom"/>
            <w:tcBorders>
              <w:left w:val="single" w:sz="8" w:color="CCEEFF"/>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​9/15/2021</w:t>
            </w:r>
          </w:p>
        </w:tc>
        <w:tc>
          <w:tcPr>
            <w:tcW w:w="140" w:type="dxa"/>
            <w:vAlign w:val="bottom"/>
            <w:vMerge w:val="continue"/>
            <w:shd w:val="clear" w:color="auto" w:fill="CCEEFF"/>
          </w:tcPr>
          <w:p>
            <w:pPr>
              <w:spacing w:after="0"/>
              <w:rPr>
                <w:sz w:val="22"/>
                <w:szCs w:val="22"/>
                <w:color w:val="auto"/>
              </w:rPr>
            </w:pPr>
          </w:p>
        </w:tc>
        <w:tc>
          <w:tcPr>
            <w:tcW w:w="1060" w:type="dxa"/>
            <w:vAlign w:val="bottom"/>
            <w:gridSpan w:val="5"/>
            <w:shd w:val="clear" w:color="auto" w:fill="CCEEFF"/>
          </w:tcPr>
          <w:p>
            <w:pPr>
              <w:jc w:val="right"/>
              <w:ind w:right="1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​380,852</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30"/>
                <w:szCs w:val="30"/>
                <w:color w:val="auto"/>
                <w:vertAlign w:val="superscript"/>
              </w:rPr>
              <w:t>​ ​</w:t>
            </w:r>
          </w:p>
        </w:tc>
        <w:tc>
          <w:tcPr>
            <w:tcW w:w="100" w:type="dxa"/>
            <w:vAlign w:val="bottom"/>
            <w:vMerge w:val="continue"/>
            <w:shd w:val="clear" w:color="auto" w:fill="CCEEFF"/>
          </w:tcPr>
          <w:p>
            <w:pPr>
              <w:spacing w:after="0"/>
              <w:rPr>
                <w:sz w:val="22"/>
                <w:szCs w:val="22"/>
                <w:color w:val="auto"/>
              </w:rPr>
            </w:pPr>
          </w:p>
        </w:tc>
        <w:tc>
          <w:tcPr>
            <w:tcW w:w="180" w:type="dxa"/>
            <w:vAlign w:val="bottom"/>
            <w:shd w:val="clear" w:color="auto" w:fill="CCEEFF"/>
          </w:tcPr>
          <w:p>
            <w:pPr>
              <w:ind w:left="1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ind w:left="10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3.83</w:t>
            </w:r>
          </w:p>
        </w:tc>
        <w:tc>
          <w:tcPr>
            <w:tcW w:w="920" w:type="dxa"/>
            <w:vAlign w:val="bottom"/>
            <w:gridSpan w:val="4"/>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​9/14/2031</w:t>
            </w:r>
          </w:p>
        </w:tc>
        <w:tc>
          <w:tcPr>
            <w:tcW w:w="160" w:type="dxa"/>
            <w:vAlign w:val="bottom"/>
            <w:vMerge w:val="continue"/>
            <w:shd w:val="clear" w:color="auto" w:fill="CCEEFF"/>
          </w:tcPr>
          <w:p>
            <w:pPr>
              <w:spacing w:after="0"/>
              <w:rPr>
                <w:sz w:val="22"/>
                <w:szCs w:val="22"/>
                <w:color w:val="auto"/>
              </w:rPr>
            </w:pPr>
          </w:p>
        </w:tc>
        <w:tc>
          <w:tcPr>
            <w:tcW w:w="140" w:type="dxa"/>
            <w:vAlign w:val="bottom"/>
            <w:tcBorders>
              <w:left w:val="single" w:sz="8" w:color="CCEEFF"/>
            </w:tcBorders>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1620" w:type="dxa"/>
            <w:vAlign w:val="bottom"/>
            <w:gridSpan w:val="4"/>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​1/27/2022</w:t>
            </w: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xml:space="preserve"> ​106,951</w:t>
            </w:r>
          </w:p>
        </w:tc>
        <w:tc>
          <w:tcPr>
            <w:tcW w:w="380" w:type="dxa"/>
            <w:vAlign w:val="bottom"/>
            <w:gridSpan w:val="3"/>
          </w:tcPr>
          <w:p>
            <w:pPr>
              <w:jc w:val="right"/>
              <w:ind w:right="140"/>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80" w:type="dxa"/>
            <w:vAlign w:val="bottom"/>
          </w:tcPr>
          <w:p>
            <w:pPr>
              <w:ind w:left="14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2,229</w:t>
            </w:r>
          </w:p>
        </w:tc>
        <w:tc>
          <w:tcPr>
            <w:tcW w:w="28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60" w:type="dxa"/>
            <w:vAlign w:val="bottom"/>
          </w:tcPr>
          <w:p>
            <w:pPr>
              <w:ind w:left="10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Pr>
          <w:p>
            <w:pPr>
              <w:spacing w:after="0" w:line="20" w:lineRule="exact"/>
              <w:rPr>
                <w:sz w:val="1"/>
                <w:szCs w:val="1"/>
                <w:color w:val="auto"/>
              </w:rPr>
            </w:pPr>
          </w:p>
        </w:tc>
        <w:tc>
          <w:tcPr>
            <w:tcW w:w="700" w:type="dxa"/>
            <w:vAlign w:val="bottom"/>
            <w:gridSpan w:val="3"/>
          </w:tcPr>
          <w:p>
            <w:pPr>
              <w:spacing w:after="0" w:line="18" w:lineRule="exact"/>
              <w:rPr>
                <w:sz w:val="20"/>
                <w:szCs w:val="20"/>
                <w:color w:val="auto"/>
              </w:rPr>
            </w:pPr>
            <w:r>
              <w:rPr>
                <w:rFonts w:ascii="Times New Roman" w:cs="Times New Roman" w:eastAsia="Times New Roman" w:hAnsi="Times New Roman"/>
                <w:sz w:val="2"/>
                <w:szCs w:val="2"/>
                <w:color w:val="auto"/>
                <w:vertAlign w:val="superscript"/>
              </w:rPr>
              <w:t>​​ ​ ​</w:t>
            </w:r>
            <w:r>
              <w:rPr>
                <w:rFonts w:ascii="Times New Roman" w:cs="Times New Roman" w:eastAsia="Times New Roman" w:hAnsi="Times New Roman"/>
                <w:sz w:val="1"/>
                <w:szCs w:val="1"/>
                <w:color w:val="auto"/>
              </w:rPr>
              <w:t>​ 8.84</w:t>
            </w:r>
          </w:p>
        </w:tc>
        <w:tc>
          <w:tcPr>
            <w:tcW w:w="1080" w:type="dxa"/>
            <w:vAlign w:val="bottom"/>
            <w:gridSpan w:val="5"/>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​1/26/2032</w:t>
            </w:r>
            <w:r>
              <w:rPr>
                <w:rFonts w:ascii="Times New Roman" w:cs="Times New Roman" w:eastAsia="Times New Roman" w:hAnsi="Times New Roman"/>
                <w:sz w:val="2"/>
                <w:szCs w:val="2"/>
                <w:color w:val="auto"/>
                <w:vertAlign w:val="superscript"/>
              </w:rPr>
              <w:t>​​ ​</w:t>
            </w:r>
          </w:p>
        </w:tc>
        <w:tc>
          <w:tcPr>
            <w:tcW w:w="140" w:type="dxa"/>
            <w:vAlign w:val="bottom"/>
          </w:tcPr>
          <w:p>
            <w:pPr>
              <w:ind w:left="8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line="20" w:lineRule="exact"/>
              <w:rPr>
                <w:sz w:val="1"/>
                <w:szCs w:val="1"/>
                <w:color w:val="auto"/>
              </w:rPr>
            </w:pPr>
          </w:p>
        </w:tc>
        <w:tc>
          <w:tcPr>
            <w:tcW w:w="300" w:type="dxa"/>
            <w:vAlign w:val="bottom"/>
            <w:gridSpan w:val="3"/>
          </w:tcPr>
          <w:p>
            <w:pPr>
              <w:jc w:val="right"/>
              <w:spacing w:after="0" w:line="18"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2"/>
                <w:szCs w:val="2"/>
                <w:color w:val="auto"/>
                <w:vertAlign w:val="subscript"/>
              </w:rPr>
              <w:t>​</w:t>
            </w:r>
          </w:p>
        </w:tc>
        <w:tc>
          <w:tcPr>
            <w:tcW w:w="5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tcPr>
          <w:p>
            <w:pPr>
              <w:ind w:left="100"/>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2"/>
              </w:rPr>
              <w:t>(4)(5)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​1/27/2022</w:t>
            </w:r>
          </w:p>
        </w:tc>
        <w:tc>
          <w:tcPr>
            <w:tcW w:w="82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 xml:space="preserve"> ​534,759</w:t>
            </w:r>
          </w:p>
        </w:tc>
        <w:tc>
          <w:tcPr>
            <w:tcW w:w="3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​186,609</w:t>
            </w:r>
          </w:p>
        </w:tc>
        <w:tc>
          <w:tcPr>
            <w:tcW w:w="28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ind w:left="10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00" w:type="dxa"/>
            <w:vAlign w:val="bottom"/>
            <w:gridSpan w:val="3"/>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8.84</w:t>
            </w:r>
          </w:p>
        </w:tc>
        <w:tc>
          <w:tcPr>
            <w:tcW w:w="1080" w:type="dxa"/>
            <w:vAlign w:val="bottom"/>
            <w:gridSpan w:val="5"/>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​1/26/2032</w:t>
            </w:r>
            <w:r>
              <w:rPr>
                <w:rFonts w:ascii="Times New Roman" w:cs="Times New Roman" w:eastAsia="Times New Roman" w:hAnsi="Times New Roman"/>
                <w:sz w:val="13"/>
                <w:szCs w:val="13"/>
                <w:color w:val="auto"/>
                <w:vertAlign w:val="superscript"/>
              </w:rPr>
              <w:t>​​ ​</w:t>
            </w:r>
          </w:p>
        </w:tc>
        <w:tc>
          <w:tcPr>
            <w:tcW w:w="140" w:type="dxa"/>
            <w:vAlign w:val="bottom"/>
          </w:tcPr>
          <w:p>
            <w:pPr>
              <w:ind w:left="8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4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0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5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2"/>
              </w:rPr>
              <w:t>(6)(7)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vMerge w:val="restart"/>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​6/22/2023</w:t>
            </w:r>
          </w:p>
        </w:tc>
        <w:tc>
          <w:tcPr>
            <w:tcW w:w="14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820" w:type="dxa"/>
            <w:vAlign w:val="bottom"/>
            <w:gridSpan w:val="3"/>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xml:space="preserve"> ​263,101</w:t>
            </w:r>
          </w:p>
        </w:tc>
        <w:tc>
          <w:tcPr>
            <w:tcW w:w="380" w:type="dxa"/>
            <w:vAlign w:val="bottom"/>
            <w:gridSpan w:val="3"/>
            <w:shd w:val="clear" w:color="auto" w:fill="CCEEFF"/>
          </w:tcPr>
          <w:p>
            <w:pPr>
              <w:jc w:val="right"/>
              <w:ind w:right="140"/>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74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93,182</w:t>
            </w:r>
          </w:p>
        </w:tc>
        <w:tc>
          <w:tcPr>
            <w:tcW w:w="28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60" w:type="dxa"/>
            <w:vAlign w:val="bottom"/>
            <w:tcBorders>
              <w:left w:val="single" w:sz="8" w:color="CCEEFF"/>
            </w:tcBorders>
            <w:shd w:val="clear" w:color="auto" w:fill="CCEEFF"/>
          </w:tcPr>
          <w:p>
            <w:pPr>
              <w:ind w:left="10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CCEEFF"/>
          </w:tcPr>
          <w:p>
            <w:pPr>
              <w:spacing w:after="0" w:line="18" w:lineRule="exact"/>
              <w:rPr>
                <w:sz w:val="20"/>
                <w:szCs w:val="20"/>
                <w:color w:val="auto"/>
              </w:rPr>
            </w:pPr>
            <w:r>
              <w:rPr>
                <w:rFonts w:ascii="Times New Roman" w:cs="Times New Roman" w:eastAsia="Times New Roman" w:hAnsi="Times New Roman"/>
                <w:sz w:val="2"/>
                <w:szCs w:val="2"/>
                <w:color w:val="auto"/>
                <w:vertAlign w:val="superscript"/>
              </w:rPr>
              <w:t>​​ ​ ​</w:t>
            </w:r>
            <w:r>
              <w:rPr>
                <w:rFonts w:ascii="Times New Roman" w:cs="Times New Roman" w:eastAsia="Times New Roman" w:hAnsi="Times New Roman"/>
                <w:sz w:val="1"/>
                <w:szCs w:val="1"/>
                <w:color w:val="auto"/>
              </w:rPr>
              <w:t>​ 8.84</w:t>
            </w:r>
          </w:p>
        </w:tc>
        <w:tc>
          <w:tcPr>
            <w:tcW w:w="1080" w:type="dxa"/>
            <w:vAlign w:val="bottom"/>
            <w:gridSpan w:val="5"/>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​6/22/2033</w:t>
            </w:r>
            <w:r>
              <w:rPr>
                <w:rFonts w:ascii="Times New Roman" w:cs="Times New Roman" w:eastAsia="Times New Roman" w:hAnsi="Times New Roman"/>
                <w:sz w:val="2"/>
                <w:szCs w:val="2"/>
                <w:color w:val="auto"/>
                <w:vertAlign w:val="superscript"/>
              </w:rPr>
              <w:t>​​ ​</w:t>
            </w:r>
          </w:p>
        </w:tc>
        <w:tc>
          <w:tcPr>
            <w:tcW w:w="140" w:type="dxa"/>
            <w:vAlign w:val="bottom"/>
            <w:tcBorders>
              <w:left w:val="single" w:sz="8" w:color="CCEEFF"/>
            </w:tcBorders>
            <w:shd w:val="clear" w:color="auto" w:fill="CCEEFF"/>
          </w:tcPr>
          <w:p>
            <w:pPr>
              <w:ind w:left="8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CCEEFF"/>
          </w:tcPr>
          <w:p>
            <w:pPr>
              <w:jc w:val="right"/>
              <w:spacing w:after="0" w:line="18"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2"/>
                <w:szCs w:val="2"/>
                <w:color w:val="auto"/>
                <w:vertAlign w:val="subscript"/>
              </w:rPr>
              <w:t>​</w:t>
            </w:r>
          </w:p>
        </w:tc>
        <w:tc>
          <w:tcPr>
            <w:tcW w:w="560" w:type="dxa"/>
            <w:vAlign w:val="bottom"/>
            <w:tcBorders>
              <w:right w:val="single" w:sz="8" w:color="CCEEFF"/>
            </w:tcBorders>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shd w:val="clear" w:color="auto" w:fill="CCEEFF"/>
          </w:tcPr>
          <w:p>
            <w:pPr>
              <w:ind w:left="100"/>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w w:val="92"/>
              </w:rPr>
              <w:t>(8)(9)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vMerge w:val="restart"/>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​10/9/2023</w:t>
            </w:r>
          </w:p>
        </w:tc>
        <w:tc>
          <w:tcPr>
            <w:tcW w:w="140" w:type="dxa"/>
            <w:vAlign w:val="bottom"/>
            <w:shd w:val="clear" w:color="auto" w:fill="CCEEFF"/>
          </w:tcPr>
          <w:p>
            <w:pPr>
              <w:spacing w:after="0"/>
              <w:rPr>
                <w:sz w:val="8"/>
                <w:szCs w:val="8"/>
                <w:color w:val="auto"/>
              </w:rPr>
            </w:pPr>
          </w:p>
        </w:tc>
        <w:tc>
          <w:tcPr>
            <w:tcW w:w="680" w:type="dxa"/>
            <w:vAlign w:val="bottom"/>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tcBorders>
              <w:right w:val="single" w:sz="8" w:color="CCEEFF"/>
            </w:tcBorders>
            <w:gridSpan w:val="2"/>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3"/>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40" w:type="dxa"/>
            <w:vAlign w:val="bottom"/>
          </w:tcPr>
          <w:p>
            <w:pPr>
              <w:ind w:left="20"/>
              <w:spacing w:after="0" w:line="18" w:lineRule="exact"/>
              <w:rPr>
                <w:sz w:val="20"/>
                <w:szCs w:val="20"/>
                <w:color w:val="auto"/>
              </w:rPr>
            </w:pPr>
            <w:r>
              <w:rPr>
                <w:rFonts w:ascii="Times New Roman" w:cs="Times New Roman" w:eastAsia="Times New Roman" w:hAnsi="Times New Roman"/>
                <w:sz w:val="2"/>
                <w:szCs w:val="2"/>
                <w:color w:val="auto"/>
              </w:rPr>
              <w:t>​​​</w:t>
            </w:r>
          </w:p>
        </w:tc>
        <w:tc>
          <w:tcPr>
            <w:tcW w:w="68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​107,028</w:t>
            </w:r>
          </w:p>
        </w:tc>
        <w:tc>
          <w:tcPr>
            <w:tcW w:w="380" w:type="dxa"/>
            <w:vAlign w:val="bottom"/>
            <w:gridSpan w:val="3"/>
          </w:tcPr>
          <w:p>
            <w:pPr>
              <w:jc w:val="right"/>
              <w:ind w:right="140"/>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74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49,055</w:t>
            </w:r>
          </w:p>
        </w:tc>
        <w:tc>
          <w:tcPr>
            <w:tcW w:w="28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60" w:type="dxa"/>
            <w:vAlign w:val="bottom"/>
          </w:tcPr>
          <w:p>
            <w:pPr>
              <w:ind w:left="10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Pr>
          <w:p>
            <w:pPr>
              <w:spacing w:after="0" w:line="20" w:lineRule="exact"/>
              <w:rPr>
                <w:sz w:val="1"/>
                <w:szCs w:val="1"/>
                <w:color w:val="auto"/>
              </w:rPr>
            </w:pPr>
          </w:p>
        </w:tc>
        <w:tc>
          <w:tcPr>
            <w:tcW w:w="700" w:type="dxa"/>
            <w:vAlign w:val="bottom"/>
            <w:gridSpan w:val="3"/>
          </w:tcPr>
          <w:p>
            <w:pPr>
              <w:spacing w:after="0" w:line="18" w:lineRule="exact"/>
              <w:rPr>
                <w:sz w:val="20"/>
                <w:szCs w:val="20"/>
                <w:color w:val="auto"/>
              </w:rPr>
            </w:pPr>
            <w:r>
              <w:rPr>
                <w:rFonts w:ascii="Times New Roman" w:cs="Times New Roman" w:eastAsia="Times New Roman" w:hAnsi="Times New Roman"/>
                <w:sz w:val="2"/>
                <w:szCs w:val="2"/>
                <w:color w:val="auto"/>
                <w:vertAlign w:val="superscript"/>
              </w:rPr>
              <w:t>​​ ​ ​</w:t>
            </w:r>
            <w:r>
              <w:rPr>
                <w:rFonts w:ascii="Times New Roman" w:cs="Times New Roman" w:eastAsia="Times New Roman" w:hAnsi="Times New Roman"/>
                <w:sz w:val="1"/>
                <w:szCs w:val="1"/>
                <w:color w:val="auto"/>
              </w:rPr>
              <w:t>​ 8.84</w:t>
            </w:r>
          </w:p>
        </w:tc>
        <w:tc>
          <w:tcPr>
            <w:tcW w:w="1080" w:type="dxa"/>
            <w:vAlign w:val="bottom"/>
            <w:gridSpan w:val="5"/>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​10/8/2033</w:t>
            </w:r>
            <w:r>
              <w:rPr>
                <w:rFonts w:ascii="Times New Roman" w:cs="Times New Roman" w:eastAsia="Times New Roman" w:hAnsi="Times New Roman"/>
                <w:sz w:val="2"/>
                <w:szCs w:val="2"/>
                <w:color w:val="auto"/>
                <w:vertAlign w:val="superscript"/>
              </w:rPr>
              <w:t>​​ ​</w:t>
            </w:r>
          </w:p>
        </w:tc>
        <w:tc>
          <w:tcPr>
            <w:tcW w:w="140" w:type="dxa"/>
            <w:vAlign w:val="bottom"/>
          </w:tcPr>
          <w:p>
            <w:pPr>
              <w:ind w:left="8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line="20" w:lineRule="exact"/>
              <w:rPr>
                <w:sz w:val="1"/>
                <w:szCs w:val="1"/>
                <w:color w:val="auto"/>
              </w:rPr>
            </w:pPr>
          </w:p>
        </w:tc>
        <w:tc>
          <w:tcPr>
            <w:tcW w:w="300" w:type="dxa"/>
            <w:vAlign w:val="bottom"/>
            <w:gridSpan w:val="3"/>
          </w:tcPr>
          <w:p>
            <w:pPr>
              <w:jc w:val="right"/>
              <w:spacing w:after="0" w:line="18"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2"/>
                <w:szCs w:val="2"/>
                <w:color w:val="auto"/>
                <w:vertAlign w:val="subscript"/>
              </w:rPr>
              <w:t>​</w:t>
            </w:r>
          </w:p>
        </w:tc>
        <w:tc>
          <w:tcPr>
            <w:tcW w:w="5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tcPr>
          <w:p>
            <w:pPr>
              <w:ind w:left="100"/>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89"/>
              </w:rPr>
              <w:t>(10)(11)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vMerge w:val="restart"/>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​3/29/2024</w:t>
            </w:r>
          </w:p>
        </w:tc>
        <w:tc>
          <w:tcPr>
            <w:tcW w:w="140" w:type="dxa"/>
            <w:vAlign w:val="bottom"/>
            <w:vMerge w:val="restart"/>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8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​241,210</w:t>
            </w:r>
          </w:p>
        </w:tc>
        <w:tc>
          <w:tcPr>
            <w:tcW w:w="380" w:type="dxa"/>
            <w:vAlign w:val="bottom"/>
            <w:gridSpan w:val="3"/>
            <w:shd w:val="clear" w:color="auto" w:fill="CCEEFF"/>
          </w:tcPr>
          <w:p>
            <w:pPr>
              <w:jc w:val="right"/>
              <w:ind w:right="140"/>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74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​135,681</w:t>
            </w:r>
          </w:p>
        </w:tc>
        <w:tc>
          <w:tcPr>
            <w:tcW w:w="28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60" w:type="dxa"/>
            <w:vAlign w:val="bottom"/>
            <w:tcBorders>
              <w:left w:val="single" w:sz="8" w:color="CCEEFF"/>
            </w:tcBorders>
            <w:shd w:val="clear" w:color="auto" w:fill="CCEEFF"/>
          </w:tcPr>
          <w:p>
            <w:pPr>
              <w:ind w:left="10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CCEEFF"/>
          </w:tcPr>
          <w:p>
            <w:pPr>
              <w:spacing w:after="0" w:line="18" w:lineRule="exact"/>
              <w:rPr>
                <w:sz w:val="20"/>
                <w:szCs w:val="20"/>
                <w:color w:val="auto"/>
              </w:rPr>
            </w:pPr>
            <w:r>
              <w:rPr>
                <w:rFonts w:ascii="Times New Roman" w:cs="Times New Roman" w:eastAsia="Times New Roman" w:hAnsi="Times New Roman"/>
                <w:sz w:val="2"/>
                <w:szCs w:val="2"/>
                <w:color w:val="auto"/>
                <w:vertAlign w:val="superscript"/>
              </w:rPr>
              <w:t>​​ ​ ​</w:t>
            </w:r>
            <w:r>
              <w:rPr>
                <w:rFonts w:ascii="Times New Roman" w:cs="Times New Roman" w:eastAsia="Times New Roman" w:hAnsi="Times New Roman"/>
                <w:sz w:val="1"/>
                <w:szCs w:val="1"/>
                <w:color w:val="auto"/>
              </w:rPr>
              <w:t>​ 8.84</w:t>
            </w:r>
          </w:p>
        </w:tc>
        <w:tc>
          <w:tcPr>
            <w:tcW w:w="1080" w:type="dxa"/>
            <w:vAlign w:val="bottom"/>
            <w:gridSpan w:val="5"/>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​3/28/2034</w:t>
            </w:r>
            <w:r>
              <w:rPr>
                <w:rFonts w:ascii="Times New Roman" w:cs="Times New Roman" w:eastAsia="Times New Roman" w:hAnsi="Times New Roman"/>
                <w:sz w:val="2"/>
                <w:szCs w:val="2"/>
                <w:color w:val="auto"/>
                <w:vertAlign w:val="superscript"/>
              </w:rPr>
              <w:t>​​ ​</w:t>
            </w:r>
          </w:p>
        </w:tc>
        <w:tc>
          <w:tcPr>
            <w:tcW w:w="140" w:type="dxa"/>
            <w:vAlign w:val="bottom"/>
            <w:tcBorders>
              <w:left w:val="single" w:sz="8" w:color="CCEEFF"/>
            </w:tcBorders>
            <w:shd w:val="clear" w:color="auto" w:fill="CCEEFF"/>
          </w:tcPr>
          <w:p>
            <w:pPr>
              <w:ind w:left="8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CCEEFF"/>
          </w:tcPr>
          <w:p>
            <w:pPr>
              <w:jc w:val="right"/>
              <w:spacing w:after="0" w:line="18"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2"/>
                <w:szCs w:val="2"/>
                <w:color w:val="auto"/>
                <w:vertAlign w:val="subscript"/>
              </w:rPr>
              <w:t>​</w:t>
            </w:r>
          </w:p>
        </w:tc>
        <w:tc>
          <w:tcPr>
            <w:tcW w:w="560" w:type="dxa"/>
            <w:vAlign w:val="bottom"/>
            <w:tcBorders>
              <w:right w:val="single" w:sz="8" w:color="CCEEFF"/>
            </w:tcBorders>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shd w:val="clear" w:color="auto" w:fill="CCEEFF"/>
          </w:tcPr>
          <w:p>
            <w:pPr>
              <w:ind w:left="100"/>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(12)(13)</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 5/6/2024</w:t>
            </w:r>
          </w:p>
        </w:tc>
        <w:tc>
          <w:tcPr>
            <w:tcW w:w="1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jc w:val="right"/>
              <w:ind w:right="140"/>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ind w:left="14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700" w:type="dxa"/>
            <w:vAlign w:val="bottom"/>
            <w:tcBorders>
              <w:left w:val="single" w:sz="8" w:color="CCEEFF"/>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​478,288</w:t>
            </w:r>
          </w:p>
        </w:tc>
        <w:tc>
          <w:tcPr>
            <w:tcW w:w="120" w:type="dxa"/>
            <w:vAlign w:val="bottom"/>
            <w:tcBorders>
              <w:right w:val="single" w:sz="8" w:color="CCEEFF"/>
            </w:tcBorders>
            <w:shd w:val="clear" w:color="auto" w:fill="CCEEFF"/>
          </w:tcPr>
          <w:p>
            <w:pPr>
              <w:spacing w:after="0"/>
              <w:rPr>
                <w:sz w:val="10"/>
                <w:szCs w:val="10"/>
                <w:color w:val="auto"/>
              </w:rPr>
            </w:pPr>
          </w:p>
        </w:tc>
        <w:tc>
          <w:tcPr>
            <w:tcW w:w="1780" w:type="dxa"/>
            <w:vAlign w:val="bottom"/>
            <w:gridSpan w:val="8"/>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xml:space="preserve">​10.19 </w:t>
            </w: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 5/5/2034</w:t>
            </w:r>
            <w:r>
              <w:rPr>
                <w:rFonts w:ascii="Times New Roman" w:cs="Times New Roman" w:eastAsia="Times New Roman" w:hAnsi="Times New Roman"/>
                <w:sz w:val="13"/>
                <w:szCs w:val="13"/>
                <w:color w:val="auto"/>
                <w:vertAlign w:val="superscript"/>
              </w:rPr>
              <w:t>​​ ​</w:t>
            </w:r>
          </w:p>
        </w:tc>
        <w:tc>
          <w:tcPr>
            <w:tcW w:w="140" w:type="dxa"/>
            <w:vAlign w:val="bottom"/>
            <w:tcBorders>
              <w:left w:val="single" w:sz="8" w:color="CCEEFF"/>
            </w:tcBorders>
            <w:shd w:val="clear" w:color="auto" w:fill="CCEEFF"/>
          </w:tcPr>
          <w:p>
            <w:pPr>
              <w:ind w:left="8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300" w:type="dxa"/>
            <w:vAlign w:val="bottom"/>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560" w:type="dxa"/>
            <w:vAlign w:val="bottom"/>
            <w:tcBorders>
              <w:right w:val="single" w:sz="8" w:color="CCEEFF"/>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2"/>
                <w:szCs w:val="12"/>
                <w:color w:val="auto"/>
                <w:w w:val="89"/>
              </w:rPr>
              <w:t>(14)</w:t>
            </w: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 6/6/2024</w:t>
            </w:r>
          </w:p>
        </w:tc>
        <w:tc>
          <w:tcPr>
            <w:tcW w:w="1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​245,989</w:t>
            </w:r>
          </w:p>
        </w:tc>
        <w:tc>
          <w:tcPr>
            <w:tcW w:w="8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40"/>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​153,742</w:t>
            </w:r>
          </w:p>
        </w:tc>
        <w:tc>
          <w:tcPr>
            <w:tcW w:w="28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left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780" w:type="dxa"/>
            <w:vAlign w:val="bottom"/>
            <w:gridSpan w:val="8"/>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xml:space="preserve">​13.32 </w:t>
            </w: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 6/5/2034</w:t>
            </w:r>
            <w:r>
              <w:rPr>
                <w:rFonts w:ascii="Times New Roman" w:cs="Times New Roman" w:eastAsia="Times New Roman" w:hAnsi="Times New Roman"/>
                <w:sz w:val="13"/>
                <w:szCs w:val="13"/>
                <w:color w:val="auto"/>
                <w:vertAlign w:val="superscript"/>
              </w:rPr>
              <w:t>​​ ​</w:t>
            </w:r>
          </w:p>
        </w:tc>
        <w:tc>
          <w:tcPr>
            <w:tcW w:w="140" w:type="dxa"/>
            <w:vAlign w:val="bottom"/>
            <w:tcBorders>
              <w:left w:val="single" w:sz="8" w:color="CCEEFF"/>
            </w:tcBorders>
            <w:shd w:val="clear" w:color="auto" w:fill="CCEEFF"/>
          </w:tcPr>
          <w:p>
            <w:pPr>
              <w:ind w:left="8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300" w:type="dxa"/>
            <w:vAlign w:val="bottom"/>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560" w:type="dxa"/>
            <w:vAlign w:val="bottom"/>
            <w:tcBorders>
              <w:right w:val="single" w:sz="8" w:color="CCEEFF"/>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w w:val="74"/>
              </w:rPr>
              <w:t>(15)(16)</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vMerge w:val="restart"/>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​6/27/2024</w:t>
            </w:r>
          </w:p>
        </w:tc>
        <w:tc>
          <w:tcPr>
            <w:tcW w:w="140" w:type="dxa"/>
            <w:vAlign w:val="bottom"/>
            <w:vMerge w:val="restart"/>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8,021</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tcBorders>
              <w:right w:val="single" w:sz="8" w:color="CCEEFF"/>
            </w:tcBorders>
            <w:gridSpan w:val="2"/>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3"/>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 w:type="dxa"/>
            <w:vAlign w:val="bottom"/>
            <w:vMerge w:val="continue"/>
            <w:shd w:val="clear" w:color="auto" w:fill="CCEEFF"/>
          </w:tcPr>
          <w:p>
            <w:pPr>
              <w:spacing w:after="0" w:line="20" w:lineRule="exact"/>
              <w:rPr>
                <w:sz w:val="1"/>
                <w:szCs w:val="1"/>
                <w:color w:val="auto"/>
              </w:rPr>
            </w:pPr>
          </w:p>
        </w:tc>
        <w:tc>
          <w:tcPr>
            <w:tcW w:w="560" w:type="dxa"/>
            <w:vAlign w:val="bottom"/>
            <w:vMerge w:val="continue"/>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Pr>
          <w:p>
            <w:pPr>
              <w:spacing w:after="0" w:line="20" w:lineRule="exact"/>
              <w:rPr>
                <w:sz w:val="1"/>
                <w:szCs w:val="1"/>
                <w:color w:val="auto"/>
              </w:rPr>
            </w:pPr>
          </w:p>
        </w:tc>
        <w:tc>
          <w:tcPr>
            <w:tcW w:w="10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74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13,369</w:t>
            </w:r>
          </w:p>
        </w:tc>
        <w:tc>
          <w:tcPr>
            <w:tcW w:w="28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60" w:type="dxa"/>
            <w:vAlign w:val="bottom"/>
          </w:tcPr>
          <w:p>
            <w:pPr>
              <w:ind w:left="10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Pr>
          <w:p>
            <w:pPr>
              <w:spacing w:after="0" w:line="20" w:lineRule="exact"/>
              <w:rPr>
                <w:sz w:val="1"/>
                <w:szCs w:val="1"/>
                <w:color w:val="auto"/>
              </w:rPr>
            </w:pPr>
          </w:p>
        </w:tc>
        <w:tc>
          <w:tcPr>
            <w:tcW w:w="1780" w:type="dxa"/>
            <w:vAlign w:val="bottom"/>
            <w:gridSpan w:val="8"/>
          </w:tcPr>
          <w:p>
            <w:pPr>
              <w:spacing w:after="0" w:line="18" w:lineRule="exact"/>
              <w:rPr>
                <w:sz w:val="20"/>
                <w:szCs w:val="20"/>
                <w:color w:val="auto"/>
              </w:rPr>
            </w:pPr>
            <w:r>
              <w:rPr>
                <w:rFonts w:ascii="Times New Roman" w:cs="Times New Roman" w:eastAsia="Times New Roman" w:hAnsi="Times New Roman"/>
                <w:sz w:val="2"/>
                <w:szCs w:val="2"/>
                <w:color w:val="auto"/>
                <w:vertAlign w:val="superscript"/>
              </w:rPr>
              <w:t>​​ ​ ​</w:t>
            </w:r>
            <w:r>
              <w:rPr>
                <w:rFonts w:ascii="Times New Roman" w:cs="Times New Roman" w:eastAsia="Times New Roman" w:hAnsi="Times New Roman"/>
                <w:sz w:val="1"/>
                <w:szCs w:val="1"/>
                <w:color w:val="auto"/>
              </w:rPr>
              <w:t xml:space="preserve">​16.00 </w:t>
            </w: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​6/26/2034</w:t>
            </w:r>
            <w:r>
              <w:rPr>
                <w:rFonts w:ascii="Times New Roman" w:cs="Times New Roman" w:eastAsia="Times New Roman" w:hAnsi="Times New Roman"/>
                <w:sz w:val="2"/>
                <w:szCs w:val="2"/>
                <w:color w:val="auto"/>
                <w:vertAlign w:val="superscript"/>
              </w:rPr>
              <w:t>​​ ​</w:t>
            </w:r>
          </w:p>
        </w:tc>
        <w:tc>
          <w:tcPr>
            <w:tcW w:w="140" w:type="dxa"/>
            <w:vAlign w:val="bottom"/>
          </w:tcPr>
          <w:p>
            <w:pPr>
              <w:ind w:left="8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line="20" w:lineRule="exact"/>
              <w:rPr>
                <w:sz w:val="1"/>
                <w:szCs w:val="1"/>
                <w:color w:val="auto"/>
              </w:rPr>
            </w:pPr>
          </w:p>
        </w:tc>
        <w:tc>
          <w:tcPr>
            <w:tcW w:w="300" w:type="dxa"/>
            <w:vAlign w:val="bottom"/>
            <w:gridSpan w:val="3"/>
          </w:tcPr>
          <w:p>
            <w:pPr>
              <w:jc w:val="right"/>
              <w:spacing w:after="0" w:line="18"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2"/>
                <w:szCs w:val="2"/>
                <w:color w:val="auto"/>
                <w:vertAlign w:val="subscript"/>
              </w:rPr>
              <w:t>​</w:t>
            </w:r>
          </w:p>
        </w:tc>
        <w:tc>
          <w:tcPr>
            <w:tcW w:w="5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tcPr>
          <w:p>
            <w:pPr>
              <w:ind w:left="100"/>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9"/>
              </w:rPr>
              <w:t>(17)</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vMerge w:val="restart"/>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​2/18/2025</w:t>
            </w:r>
          </w:p>
        </w:tc>
        <w:tc>
          <w:tcPr>
            <w:tcW w:w="140" w:type="dxa"/>
            <w:vAlign w:val="bottom"/>
            <w:vMerge w:val="restart"/>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 w:type="dxa"/>
            <w:vAlign w:val="bottom"/>
            <w:vMerge w:val="continue"/>
            <w:shd w:val="clear" w:color="auto" w:fill="CCEEFF"/>
          </w:tcPr>
          <w:p>
            <w:pPr>
              <w:spacing w:after="0" w:line="20" w:lineRule="exact"/>
              <w:rPr>
                <w:sz w:val="1"/>
                <w:szCs w:val="1"/>
                <w:color w:val="auto"/>
              </w:rPr>
            </w:pPr>
          </w:p>
        </w:tc>
        <w:tc>
          <w:tcPr>
            <w:tcW w:w="560" w:type="dxa"/>
            <w:vAlign w:val="bottom"/>
            <w:vMerge w:val="continue"/>
            <w:shd w:val="clear" w:color="auto" w:fill="CCEEFF"/>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74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​523,000</w:t>
            </w:r>
          </w:p>
        </w:tc>
        <w:tc>
          <w:tcPr>
            <w:tcW w:w="28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60" w:type="dxa"/>
            <w:vAlign w:val="bottom"/>
            <w:tcBorders>
              <w:left w:val="single" w:sz="8" w:color="CCEEFF"/>
            </w:tcBorders>
            <w:shd w:val="clear" w:color="auto" w:fill="CCEEFF"/>
          </w:tcPr>
          <w:p>
            <w:pPr>
              <w:ind w:left="10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CCEEFF"/>
          </w:tcPr>
          <w:p>
            <w:pPr>
              <w:spacing w:after="0" w:line="18" w:lineRule="exact"/>
              <w:rPr>
                <w:sz w:val="20"/>
                <w:szCs w:val="20"/>
                <w:color w:val="auto"/>
              </w:rPr>
            </w:pPr>
            <w:r>
              <w:rPr>
                <w:rFonts w:ascii="Times New Roman" w:cs="Times New Roman" w:eastAsia="Times New Roman" w:hAnsi="Times New Roman"/>
                <w:sz w:val="2"/>
                <w:szCs w:val="2"/>
                <w:color w:val="auto"/>
                <w:vertAlign w:val="superscript"/>
              </w:rPr>
              <w:t>​​ ​ ​</w:t>
            </w:r>
            <w:r>
              <w:rPr>
                <w:rFonts w:ascii="Times New Roman" w:cs="Times New Roman" w:eastAsia="Times New Roman" w:hAnsi="Times New Roman"/>
                <w:sz w:val="1"/>
                <w:szCs w:val="1"/>
                <w:color w:val="auto"/>
              </w:rPr>
              <w:t>​ 5.06</w:t>
            </w:r>
          </w:p>
        </w:tc>
        <w:tc>
          <w:tcPr>
            <w:tcW w:w="1080" w:type="dxa"/>
            <w:vAlign w:val="bottom"/>
            <w:gridSpan w:val="5"/>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​2/17/2035</w:t>
            </w:r>
            <w:r>
              <w:rPr>
                <w:rFonts w:ascii="Times New Roman" w:cs="Times New Roman" w:eastAsia="Times New Roman" w:hAnsi="Times New Roman"/>
                <w:sz w:val="2"/>
                <w:szCs w:val="2"/>
                <w:color w:val="auto"/>
                <w:vertAlign w:val="superscript"/>
              </w:rPr>
              <w:t>​​ ​</w:t>
            </w:r>
          </w:p>
        </w:tc>
        <w:tc>
          <w:tcPr>
            <w:tcW w:w="140" w:type="dxa"/>
            <w:vAlign w:val="bottom"/>
            <w:tcBorders>
              <w:left w:val="single" w:sz="8" w:color="CCEEFF"/>
            </w:tcBorders>
            <w:shd w:val="clear" w:color="auto" w:fill="CCEEFF"/>
          </w:tcPr>
          <w:p>
            <w:pPr>
              <w:ind w:left="8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CCEEFF"/>
          </w:tcPr>
          <w:p>
            <w:pPr>
              <w:jc w:val="right"/>
              <w:spacing w:after="0" w:line="18"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2"/>
                <w:szCs w:val="2"/>
                <w:color w:val="auto"/>
                <w:vertAlign w:val="subscript"/>
              </w:rPr>
              <w:t>​</w:t>
            </w:r>
          </w:p>
        </w:tc>
        <w:tc>
          <w:tcPr>
            <w:tcW w:w="560" w:type="dxa"/>
            <w:vAlign w:val="bottom"/>
            <w:tcBorders>
              <w:right w:val="single" w:sz="8" w:color="CCEEFF"/>
            </w:tcBorders>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shd w:val="clear" w:color="auto" w:fill="CCEEFF"/>
          </w:tcPr>
          <w:p>
            <w:pPr>
              <w:ind w:left="100"/>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9"/>
              </w:rPr>
              <w:t>(18)</w:t>
            </w: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​7/29/2025</w:t>
            </w:r>
          </w:p>
        </w:tc>
        <w:tc>
          <w:tcPr>
            <w:tcW w:w="1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​662,000</w:t>
            </w:r>
          </w:p>
        </w:tc>
        <w:tc>
          <w:tcPr>
            <w:tcW w:w="28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left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right w:val="single" w:sz="8" w:color="CCEEFF"/>
            </w:tcBorders>
            <w:gridSpan w:val="3"/>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3.95</w:t>
            </w:r>
          </w:p>
        </w:tc>
        <w:tc>
          <w:tcPr>
            <w:tcW w:w="1080" w:type="dxa"/>
            <w:vAlign w:val="bottom"/>
            <w:gridSpan w:val="5"/>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​7/28/2035</w:t>
            </w:r>
            <w:r>
              <w:rPr>
                <w:rFonts w:ascii="Times New Roman" w:cs="Times New Roman" w:eastAsia="Times New Roman" w:hAnsi="Times New Roman"/>
                <w:sz w:val="13"/>
                <w:szCs w:val="13"/>
                <w:color w:val="auto"/>
                <w:vertAlign w:val="superscript"/>
              </w:rPr>
              <w:t>​​ ​</w:t>
            </w:r>
          </w:p>
        </w:tc>
        <w:tc>
          <w:tcPr>
            <w:tcW w:w="140" w:type="dxa"/>
            <w:vAlign w:val="bottom"/>
            <w:tcBorders>
              <w:left w:val="single" w:sz="8" w:color="CCEEFF"/>
            </w:tcBorders>
            <w:shd w:val="clear" w:color="auto" w:fill="CCEEFF"/>
          </w:tcPr>
          <w:p>
            <w:pPr>
              <w:ind w:left="8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300" w:type="dxa"/>
            <w:vAlign w:val="bottom"/>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560" w:type="dxa"/>
            <w:vAlign w:val="bottom"/>
            <w:tcBorders>
              <w:right w:val="single" w:sz="8" w:color="CCEEFF"/>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9"/>
              </w:rPr>
              <w:t>(19)</w:t>
            </w: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​7/29/2025</w:t>
            </w:r>
          </w:p>
        </w:tc>
        <w:tc>
          <w:tcPr>
            <w:tcW w:w="1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​150,000</w:t>
            </w:r>
          </w:p>
        </w:tc>
        <w:tc>
          <w:tcPr>
            <w:tcW w:w="28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left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right w:val="single" w:sz="8" w:color="CCEEFF"/>
            </w:tcBorders>
            <w:gridSpan w:val="3"/>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3.95</w:t>
            </w:r>
          </w:p>
        </w:tc>
        <w:tc>
          <w:tcPr>
            <w:tcW w:w="1080" w:type="dxa"/>
            <w:vAlign w:val="bottom"/>
            <w:gridSpan w:val="5"/>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​7/28/2035</w:t>
            </w:r>
            <w:r>
              <w:rPr>
                <w:rFonts w:ascii="Times New Roman" w:cs="Times New Roman" w:eastAsia="Times New Roman" w:hAnsi="Times New Roman"/>
                <w:sz w:val="13"/>
                <w:szCs w:val="13"/>
                <w:color w:val="auto"/>
                <w:vertAlign w:val="superscript"/>
              </w:rPr>
              <w:t>​​ ​</w:t>
            </w:r>
          </w:p>
        </w:tc>
        <w:tc>
          <w:tcPr>
            <w:tcW w:w="140" w:type="dxa"/>
            <w:vAlign w:val="bottom"/>
            <w:tcBorders>
              <w:left w:val="single" w:sz="8" w:color="CCEEFF"/>
            </w:tcBorders>
            <w:shd w:val="clear" w:color="auto" w:fill="CCEEFF"/>
          </w:tcPr>
          <w:p>
            <w:pPr>
              <w:ind w:left="8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300" w:type="dxa"/>
            <w:vAlign w:val="bottom"/>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560" w:type="dxa"/>
            <w:vAlign w:val="bottom"/>
            <w:tcBorders>
              <w:right w:val="single" w:sz="8" w:color="CCEEFF"/>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9"/>
              </w:rPr>
              <w:t>(19)</w:t>
            </w: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8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shd w:val="clear" w:color="auto" w:fill="CCEEFF"/>
          </w:tcPr>
          <w:p>
            <w:pPr>
              <w:spacing w:after="0"/>
              <w:rPr>
                <w:sz w:val="8"/>
                <w:szCs w:val="8"/>
                <w:color w:val="auto"/>
              </w:rPr>
            </w:pPr>
          </w:p>
        </w:tc>
        <w:tc>
          <w:tcPr>
            <w:tcW w:w="280" w:type="dxa"/>
            <w:vAlign w:val="bottom"/>
            <w:gridSpan w:val="2"/>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tcBorders>
              <w:right w:val="single" w:sz="8" w:color="CCEEFF"/>
            </w:tcBorders>
            <w:gridSpan w:val="2"/>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3"/>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020" w:type="dxa"/>
            <w:vAlign w:val="bottom"/>
            <w:gridSpan w:val="8"/>
          </w:tcPr>
          <w:p>
            <w:pP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​1/27/2022</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​171,122</w:t>
            </w:r>
            <w:r>
              <w:rPr>
                <w:rFonts w:ascii="Times New Roman" w:cs="Times New Roman" w:eastAsia="Times New Roman" w:hAnsi="Times New Roman"/>
                <w:sz w:val="19"/>
                <w:szCs w:val="19"/>
                <w:color w:val="auto"/>
                <w:vertAlign w:val="superscript"/>
              </w:rPr>
              <w:t>(6)(20)</w:t>
            </w:r>
            <w:r>
              <w:rPr>
                <w:rFonts w:ascii="Times New Roman" w:cs="Times New Roman" w:eastAsia="Times New Roman" w:hAnsi="Times New Roman"/>
                <w:sz w:val="27"/>
                <w:szCs w:val="27"/>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59,715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spacing w:after="0" w:line="239" w:lineRule="exact"/>
              <w:rPr>
                <w:sz w:val="20"/>
                <w:szCs w:val="20"/>
                <w:color w:val="auto"/>
              </w:rPr>
            </w:pPr>
            <w:r>
              <w:rPr>
                <w:rFonts w:ascii="Times New Roman" w:cs="Times New Roman" w:eastAsia="Times New Roman" w:hAnsi="Times New Roman"/>
                <w:sz w:val="27"/>
                <w:szCs w:val="27"/>
                <w:color w:val="auto"/>
                <w:vertAlign w:val="superscript"/>
              </w:rPr>
              <w:t>​​ ​ ​</w:t>
            </w:r>
            <w:r>
              <w:rPr>
                <w:rFonts w:ascii="Times New Roman" w:cs="Times New Roman" w:eastAsia="Times New Roman" w:hAnsi="Times New Roman"/>
                <w:sz w:val="15"/>
                <w:szCs w:val="15"/>
                <w:color w:val="auto"/>
              </w:rPr>
              <w:t>​ 8.84</w:t>
            </w:r>
          </w:p>
        </w:tc>
        <w:tc>
          <w:tcPr>
            <w:tcW w:w="1080" w:type="dxa"/>
            <w:vAlign w:val="bottom"/>
            <w:gridSpan w:val="5"/>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​1/26/2032</w:t>
            </w:r>
            <w:r>
              <w:rPr>
                <w:rFonts w:ascii="Times New Roman" w:cs="Times New Roman" w:eastAsia="Times New Roman" w:hAnsi="Times New Roman"/>
                <w:sz w:val="27"/>
                <w:szCs w:val="27"/>
                <w:color w:val="auto"/>
                <w:vertAlign w:val="superscript"/>
              </w:rPr>
              <w:t>​​ ​</w:t>
            </w:r>
          </w:p>
        </w:tc>
        <w:tc>
          <w:tcPr>
            <w:tcW w:w="140" w:type="dxa"/>
            <w:vAlign w:val="bottom"/>
          </w:tcPr>
          <w:p>
            <w:pPr>
              <w:ind w:left="80"/>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gridSpan w:val="3"/>
          </w:tcPr>
          <w:p>
            <w:pPr>
              <w:jc w:val="right"/>
              <w:spacing w:after="0" w:line="239"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7"/>
                <w:szCs w:val="27"/>
                <w:color w:val="auto"/>
                <w:vertAlign w:val="sub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60" w:type="dxa"/>
            <w:vAlign w:val="bottom"/>
            <w:gridSpan w:val="3"/>
          </w:tcPr>
          <w:p>
            <w:pPr>
              <w:ind w:left="4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​1/27/2022</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 ​</w:t>
            </w:r>
          </w:p>
        </w:tc>
        <w:tc>
          <w:tcPr>
            <w:tcW w:w="5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42,780</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4"/>
                <w:szCs w:val="4"/>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14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892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4"/>
                <w:szCs w:val="4"/>
                <w:color w:val="auto"/>
              </w:rPr>
            </w:pPr>
          </w:p>
        </w:tc>
        <w:tc>
          <w:tcPr>
            <w:tcW w:w="700" w:type="dxa"/>
            <w:vAlign w:val="bottom"/>
            <w:gridSpan w:val="3"/>
          </w:tcPr>
          <w:p>
            <w:pPr>
              <w:spacing w:after="0" w:line="50" w:lineRule="exact"/>
              <w:rPr>
                <w:sz w:val="20"/>
                <w:szCs w:val="20"/>
                <w:color w:val="auto"/>
              </w:rPr>
            </w:pPr>
            <w:r>
              <w:rPr>
                <w:rFonts w:ascii="Times New Roman" w:cs="Times New Roman" w:eastAsia="Times New Roman" w:hAnsi="Times New Roman"/>
                <w:sz w:val="5"/>
                <w:szCs w:val="5"/>
                <w:color w:val="auto"/>
                <w:vertAlign w:val="superscript"/>
              </w:rPr>
              <w:t>​​ ​ ​</w:t>
            </w:r>
            <w:r>
              <w:rPr>
                <w:rFonts w:ascii="Times New Roman" w:cs="Times New Roman" w:eastAsia="Times New Roman" w:hAnsi="Times New Roman"/>
                <w:sz w:val="3"/>
                <w:szCs w:val="3"/>
                <w:color w:val="auto"/>
              </w:rPr>
              <w:t>​ 8.84</w:t>
            </w:r>
          </w:p>
        </w:tc>
        <w:tc>
          <w:tcPr>
            <w:tcW w:w="1080" w:type="dxa"/>
            <w:vAlign w:val="bottom"/>
            <w:gridSpan w:val="5"/>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 ​​</w:t>
            </w:r>
            <w:r>
              <w:rPr>
                <w:rFonts w:ascii="Times New Roman" w:cs="Times New Roman" w:eastAsia="Times New Roman" w:hAnsi="Times New Roman"/>
                <w:sz w:val="3"/>
                <w:szCs w:val="3"/>
                <w:color w:val="auto"/>
              </w:rPr>
              <w:t>​1/26/2032</w:t>
            </w:r>
            <w:r>
              <w:rPr>
                <w:rFonts w:ascii="Times New Roman" w:cs="Times New Roman" w:eastAsia="Times New Roman" w:hAnsi="Times New Roman"/>
                <w:sz w:val="5"/>
                <w:szCs w:val="5"/>
                <w:color w:val="auto"/>
                <w:vertAlign w:val="superscript"/>
              </w:rPr>
              <w:t>​​ ​</w:t>
            </w:r>
          </w:p>
        </w:tc>
        <w:tc>
          <w:tcPr>
            <w:tcW w:w="140" w:type="dxa"/>
            <w:vAlign w:val="bottom"/>
          </w:tcPr>
          <w:p>
            <w:pPr>
              <w:ind w:left="8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4"/>
                <w:szCs w:val="4"/>
                <w:color w:val="auto"/>
              </w:rPr>
            </w:pPr>
          </w:p>
        </w:tc>
        <w:tc>
          <w:tcPr>
            <w:tcW w:w="300" w:type="dxa"/>
            <w:vAlign w:val="bottom"/>
            <w:gridSpan w:val="3"/>
          </w:tcPr>
          <w:p>
            <w:pPr>
              <w:jc w:val="right"/>
              <w:spacing w:after="0" w:line="50" w:lineRule="exact"/>
              <w:rPr>
                <w:sz w:val="20"/>
                <w:szCs w:val="20"/>
                <w:color w:val="auto"/>
              </w:rPr>
            </w:pPr>
            <w:r>
              <w:rPr>
                <w:rFonts w:ascii="Times New Roman" w:cs="Times New Roman" w:eastAsia="Times New Roman" w:hAnsi="Times New Roman"/>
                <w:sz w:val="3"/>
                <w:szCs w:val="3"/>
                <w:color w:val="auto"/>
              </w:rPr>
              <w:t xml:space="preserve">​​ ​ </w:t>
            </w:r>
            <w:r>
              <w:rPr>
                <w:rFonts w:ascii="Times New Roman" w:cs="Times New Roman" w:eastAsia="Times New Roman" w:hAnsi="Times New Roman"/>
                <w:sz w:val="5"/>
                <w:szCs w:val="5"/>
                <w:color w:val="auto"/>
                <w:vertAlign w:val="sub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60" w:type="dxa"/>
            <w:vAlign w:val="bottom"/>
            <w:gridSpan w:val="3"/>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​6/22/2023</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3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(4)(21)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700" w:type="dxa"/>
            <w:vAlign w:val="bottom"/>
            <w:gridSpan w:val="3"/>
            <w:vMerge w:val="restart"/>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8.84</w:t>
            </w:r>
          </w:p>
        </w:tc>
        <w:tc>
          <w:tcPr>
            <w:tcW w:w="1080" w:type="dxa"/>
            <w:vAlign w:val="bottom"/>
            <w:gridSpan w:val="5"/>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​6/22/2033</w:t>
            </w:r>
            <w:r>
              <w:rPr>
                <w:rFonts w:ascii="Times New Roman" w:cs="Times New Roman" w:eastAsia="Times New Roman" w:hAnsi="Times New Roman"/>
                <w:sz w:val="31"/>
                <w:szCs w:val="31"/>
                <w:color w:val="auto"/>
                <w:vertAlign w:val="superscript"/>
              </w:rPr>
              <w:t>​​ ​</w:t>
            </w:r>
          </w:p>
        </w:tc>
        <w:tc>
          <w:tcPr>
            <w:tcW w:w="140" w:type="dxa"/>
            <w:vAlign w:val="bottom"/>
            <w:vMerge w:val="restart"/>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300" w:type="dxa"/>
            <w:vAlign w:val="bottom"/>
            <w:gridSpan w:val="3"/>
            <w:vMerge w:val="restart"/>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bscript"/>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60" w:type="dxa"/>
            <w:vAlign w:val="bottom"/>
            <w:gridSpan w:val="3"/>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​10/9/2023</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30,642</w:t>
            </w:r>
          </w:p>
        </w:tc>
        <w:tc>
          <w:tcPr>
            <w:tcW w:w="3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(8)(22)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14,045</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700" w:type="dxa"/>
            <w:vAlign w:val="bottom"/>
            <w:gridSpan w:val="3"/>
            <w:vMerge w:val="restart"/>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8.84</w:t>
            </w:r>
          </w:p>
        </w:tc>
        <w:tc>
          <w:tcPr>
            <w:tcW w:w="1080" w:type="dxa"/>
            <w:vAlign w:val="bottom"/>
            <w:gridSpan w:val="5"/>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​10/8/2033</w:t>
            </w:r>
            <w:r>
              <w:rPr>
                <w:rFonts w:ascii="Times New Roman" w:cs="Times New Roman" w:eastAsia="Times New Roman" w:hAnsi="Times New Roman"/>
                <w:sz w:val="31"/>
                <w:szCs w:val="31"/>
                <w:color w:val="auto"/>
                <w:vertAlign w:val="superscript"/>
              </w:rPr>
              <w:t>​​ ​</w:t>
            </w:r>
          </w:p>
        </w:tc>
        <w:tc>
          <w:tcPr>
            <w:tcW w:w="140" w:type="dxa"/>
            <w:vAlign w:val="bottom"/>
            <w:vMerge w:val="restart"/>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300" w:type="dxa"/>
            <w:vAlign w:val="bottom"/>
            <w:gridSpan w:val="3"/>
            <w:vMerge w:val="restart"/>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bscript"/>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60" w:type="dxa"/>
            <w:vAlign w:val="bottom"/>
            <w:gridSpan w:val="3"/>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6/6/2024</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53,475</w:t>
            </w:r>
          </w:p>
        </w:tc>
        <w:tc>
          <w:tcPr>
            <w:tcW w:w="4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(10)(23)</w:t>
            </w:r>
          </w:p>
        </w:tc>
        <w:tc>
          <w:tcPr>
            <w:tcW w:w="740" w:type="dxa"/>
            <w:vAlign w:val="bottom"/>
            <w:gridSpan w:val="2"/>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33,422</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1780" w:type="dxa"/>
            <w:vAlign w:val="bottom"/>
            <w:gridSpan w:val="8"/>
            <w:vMerge w:val="restart"/>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​13.32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6/5/2034</w:t>
            </w:r>
            <w:r>
              <w:rPr>
                <w:rFonts w:ascii="Times New Roman" w:cs="Times New Roman" w:eastAsia="Times New Roman" w:hAnsi="Times New Roman"/>
                <w:sz w:val="31"/>
                <w:szCs w:val="31"/>
                <w:color w:val="auto"/>
                <w:vertAlign w:val="superscript"/>
              </w:rPr>
              <w:t>​​ ​</w:t>
            </w:r>
          </w:p>
        </w:tc>
        <w:tc>
          <w:tcPr>
            <w:tcW w:w="140" w:type="dxa"/>
            <w:vAlign w:val="bottom"/>
            <w:vMerge w:val="restart"/>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300" w:type="dxa"/>
            <w:vAlign w:val="bottom"/>
            <w:gridSpan w:val="3"/>
            <w:vMerge w:val="restart"/>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bscript"/>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8"/>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60" w:type="dxa"/>
            <w:vAlign w:val="bottom"/>
            <w:gridSpan w:val="3"/>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5/6/2024</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(15)(24)</w:t>
            </w:r>
          </w:p>
        </w:tc>
        <w:tc>
          <w:tcPr>
            <w:tcW w:w="180" w:type="dxa"/>
            <w:vAlign w:val="bottom"/>
            <w:vMerge w:val="restart"/>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​206,074</w:t>
            </w:r>
          </w:p>
        </w:tc>
        <w:tc>
          <w:tcPr>
            <w:tcW w:w="120" w:type="dxa"/>
            <w:vAlign w:val="bottom"/>
          </w:tcPr>
          <w:p>
            <w:pPr>
              <w:spacing w:after="0"/>
              <w:rPr>
                <w:sz w:val="13"/>
                <w:szCs w:val="13"/>
                <w:color w:val="auto"/>
              </w:rPr>
            </w:pPr>
          </w:p>
        </w:tc>
        <w:tc>
          <w:tcPr>
            <w:tcW w:w="1780" w:type="dxa"/>
            <w:vAlign w:val="bottom"/>
            <w:gridSpan w:val="8"/>
            <w:vMerge w:val="restart"/>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​10.19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5/5/2034</w:t>
            </w:r>
            <w:r>
              <w:rPr>
                <w:rFonts w:ascii="Times New Roman" w:cs="Times New Roman" w:eastAsia="Times New Roman" w:hAnsi="Times New Roman"/>
                <w:sz w:val="31"/>
                <w:szCs w:val="31"/>
                <w:color w:val="auto"/>
                <w:vertAlign w:val="superscript"/>
              </w:rPr>
              <w:t>​​ ​</w:t>
            </w:r>
          </w:p>
        </w:tc>
        <w:tc>
          <w:tcPr>
            <w:tcW w:w="140" w:type="dxa"/>
            <w:vAlign w:val="bottom"/>
            <w:vMerge w:val="restart"/>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300" w:type="dxa"/>
            <w:vAlign w:val="bottom"/>
            <w:gridSpan w:val="3"/>
            <w:vMerge w:val="restart"/>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bscript"/>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8"/>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60" w:type="dxa"/>
            <w:vAlign w:val="bottom"/>
            <w:gridSpan w:val="3"/>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​2/18/2025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​180,000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2"/>
                <w:szCs w:val="12"/>
                <w:color w:val="auto"/>
                <w:w w:val="89"/>
              </w:rPr>
              <w:t>(14)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5"/>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​2/17/2035</w:t>
            </w:r>
            <w:r>
              <w:rPr>
                <w:rFonts w:ascii="Times New Roman" w:cs="Times New Roman" w:eastAsia="Times New Roman" w:hAnsi="Times New Roman"/>
                <w:sz w:val="31"/>
                <w:szCs w:val="31"/>
                <w:color w:val="auto"/>
                <w:vertAlign w:val="superscript"/>
              </w:rPr>
              <w:t>​​ ​</w:t>
            </w:r>
          </w:p>
        </w:tc>
        <w:tc>
          <w:tcPr>
            <w:tcW w:w="140" w:type="dxa"/>
            <w:vAlign w:val="bottom"/>
            <w:vMerge w:val="restart"/>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300" w:type="dxa"/>
            <w:vAlign w:val="bottom"/>
            <w:gridSpan w:val="3"/>
            <w:vMerge w:val="restart"/>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bscript"/>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80" w:type="dxa"/>
            <w:vAlign w:val="bottom"/>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5.06</w:t>
            </w:r>
          </w:p>
        </w:tc>
        <w:tc>
          <w:tcPr>
            <w:tcW w:w="1080" w:type="dxa"/>
            <w:vAlign w:val="bottom"/>
            <w:gridSpan w:val="5"/>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60" w:type="dxa"/>
            <w:vAlign w:val="bottom"/>
            <w:gridSpan w:val="3"/>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​7/29/2025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​107,950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9"/>
              </w:rPr>
              <w:t>(18)</w:t>
            </w:r>
          </w:p>
        </w:tc>
        <w:tc>
          <w:tcPr>
            <w:tcW w:w="160" w:type="dxa"/>
            <w:vAlign w:val="bottom"/>
            <w:vMerge w:val="restart"/>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700" w:type="dxa"/>
            <w:vAlign w:val="bottom"/>
            <w:gridSpan w:val="3"/>
            <w:vMerge w:val="restart"/>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3.95</w:t>
            </w:r>
          </w:p>
        </w:tc>
        <w:tc>
          <w:tcPr>
            <w:tcW w:w="1080" w:type="dxa"/>
            <w:vAlign w:val="bottom"/>
            <w:gridSpan w:val="5"/>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​7/28/2035</w:t>
            </w:r>
            <w:r>
              <w:rPr>
                <w:rFonts w:ascii="Times New Roman" w:cs="Times New Roman" w:eastAsia="Times New Roman" w:hAnsi="Times New Roman"/>
                <w:sz w:val="31"/>
                <w:szCs w:val="31"/>
                <w:color w:val="auto"/>
                <w:vertAlign w:val="superscript"/>
              </w:rPr>
              <w:t>​​ ​</w:t>
            </w:r>
          </w:p>
        </w:tc>
        <w:tc>
          <w:tcPr>
            <w:tcW w:w="140" w:type="dxa"/>
            <w:vAlign w:val="bottom"/>
            <w:vMerge w:val="restart"/>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300" w:type="dxa"/>
            <w:vAlign w:val="bottom"/>
            <w:gridSpan w:val="3"/>
            <w:vMerge w:val="restart"/>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bscript"/>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80" w:type="dxa"/>
            <w:vAlign w:val="bottom"/>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8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60" w:type="dxa"/>
            <w:vAlign w:val="bottom"/>
            <w:gridSpan w:val="3"/>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​7/29/2025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940" w:type="dxa"/>
            <w:vAlign w:val="bottom"/>
            <w:gridSpan w:val="4"/>
            <w:vMerge w:val="restart"/>
          </w:tcPr>
          <w:p>
            <w:pPr>
              <w:jc w:val="right"/>
              <w:ind w:righ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9"/>
              </w:rPr>
              <w:t>(19)</w:t>
            </w:r>
          </w:p>
        </w:tc>
        <w:tc>
          <w:tcPr>
            <w:tcW w:w="160" w:type="dxa"/>
            <w:vAlign w:val="bottom"/>
            <w:vMerge w:val="restart"/>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260" w:type="dxa"/>
            <w:vAlign w:val="bottom"/>
            <w:gridSpan w:val="2"/>
            <w:vMerge w:val="restart"/>
          </w:tcPr>
          <w:p>
            <w:pPr>
              <w:spacing w:after="0" w:line="269" w:lineRule="exact"/>
              <w:rPr>
                <w:sz w:val="20"/>
                <w:szCs w:val="20"/>
                <w:color w:val="auto"/>
              </w:rPr>
            </w:pPr>
            <w:r>
              <w:rPr>
                <w:rFonts w:ascii="Times New Roman" w:cs="Times New Roman" w:eastAsia="Times New Roman" w:hAnsi="Times New Roman"/>
                <w:sz w:val="17"/>
                <w:szCs w:val="17"/>
                <w:color w:val="auto"/>
              </w:rPr>
              <w:t>​​ ​ ​</w:t>
            </w:r>
            <w:r>
              <w:rPr>
                <w:rFonts w:ascii="Times New Roman" w:cs="Times New Roman" w:eastAsia="Times New Roman" w:hAnsi="Times New Roman"/>
                <w:sz w:val="31"/>
                <w:szCs w:val="31"/>
                <w:color w:val="auto"/>
                <w:vertAlign w:val="subscript"/>
              </w:rPr>
              <w:t>​</w:t>
            </w:r>
          </w:p>
        </w:tc>
        <w:tc>
          <w:tcPr>
            <w:tcW w:w="720" w:type="dxa"/>
            <w:vAlign w:val="bottom"/>
            <w:gridSpan w:val="3"/>
            <w:vMerge w:val="restart"/>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bscript"/>
              </w:rPr>
              <w:t>​</w:t>
            </w:r>
          </w:p>
        </w:tc>
        <w:tc>
          <w:tcPr>
            <w:tcW w:w="460" w:type="dxa"/>
            <w:vAlign w:val="bottom"/>
          </w:tcPr>
          <w:p>
            <w:pPr>
              <w:spacing w:after="0"/>
              <w:rPr>
                <w:sz w:val="13"/>
                <w:szCs w:val="13"/>
                <w:color w:val="auto"/>
              </w:rPr>
            </w:pPr>
          </w:p>
        </w:tc>
        <w:tc>
          <w:tcPr>
            <w:tcW w:w="340" w:type="dxa"/>
            <w:vAlign w:val="bottom"/>
            <w:gridSpan w:val="2"/>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w:t>
            </w:r>
          </w:p>
        </w:tc>
        <w:tc>
          <w:tcPr>
            <w:tcW w:w="580" w:type="dxa"/>
            <w:vAlign w:val="bottom"/>
            <w:gridSpan w:val="2"/>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​27,000</w:t>
            </w:r>
          </w:p>
        </w:tc>
        <w:tc>
          <w:tcPr>
            <w:tcW w:w="100" w:type="dxa"/>
            <w:vAlign w:val="bottom"/>
          </w:tcPr>
          <w:p>
            <w:pPr>
              <w:spacing w:after="0"/>
              <w:rPr>
                <w:sz w:val="13"/>
                <w:szCs w:val="13"/>
                <w:color w:val="auto"/>
              </w:rPr>
            </w:pPr>
          </w:p>
        </w:tc>
        <w:tc>
          <w:tcPr>
            <w:tcW w:w="860" w:type="dxa"/>
            <w:vAlign w:val="bottom"/>
            <w:gridSpan w:val="4"/>
            <w:vMerge w:val="restart"/>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​263,520</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8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89"/>
              </w:rPr>
              <w:t>(25)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89"/>
              </w:rPr>
              <w:t>(26)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gridSpan w:val="8"/>
          </w:tcPr>
          <w:p>
            <w:pPr>
              <w:spacing w:after="0"/>
              <w:rPr>
                <w:sz w:val="8"/>
                <w:szCs w:val="8"/>
                <w:color w:val="auto"/>
              </w:rPr>
            </w:pPr>
          </w:p>
        </w:tc>
        <w:tc>
          <w:tcPr>
            <w:tcW w:w="7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2100" w:type="dxa"/>
            <w:vAlign w:val="bottom"/>
            <w:tcBorders>
              <w:left w:val="single" w:sz="8" w:color="CCEEFF"/>
            </w:tcBorders>
            <w:gridSpan w:val="8"/>
            <w:shd w:val="clear" w:color="auto" w:fill="CCEEFF"/>
          </w:tcPr>
          <w:p>
            <w:pPr>
              <w:jc w:val="right"/>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​8/29/2022</w:t>
            </w:r>
            <w:r>
              <w:rPr>
                <w:rFonts w:ascii="Times New Roman" w:cs="Times New Roman" w:eastAsia="Times New Roman" w:hAnsi="Times New Roman"/>
                <w:sz w:val="16"/>
                <w:szCs w:val="16"/>
                <w:color w:val="auto"/>
              </w:rPr>
              <w:t>​​​ ​</w:t>
            </w:r>
            <w:r>
              <w:rPr>
                <w:rFonts w:ascii="Times New Roman" w:cs="Times New Roman" w:eastAsia="Times New Roman" w:hAnsi="Times New Roman"/>
                <w:sz w:val="31"/>
                <w:szCs w:val="31"/>
                <w:color w:val="auto"/>
                <w:vertAlign w:val="subscript"/>
              </w:rPr>
              <w:t>​171,122</w:t>
            </w:r>
            <w:r>
              <w:rPr>
                <w:rFonts w:ascii="Times New Roman" w:cs="Times New Roman" w:eastAsia="Times New Roman" w:hAnsi="Times New Roman"/>
                <w:sz w:val="10"/>
                <w:szCs w:val="10"/>
                <w:color w:val="auto"/>
              </w:rPr>
              <w:t>(27)(28)</w:t>
            </w: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28,521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CCEEFF"/>
            </w:tcBorders>
            <w:shd w:val="clear" w:color="auto" w:fill="CCEEFF"/>
          </w:tcPr>
          <w:p>
            <w:pPr>
              <w:ind w:left="10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3"/>
                <w:szCs w:val="23"/>
                <w:color w:val="auto"/>
              </w:rPr>
            </w:pPr>
          </w:p>
        </w:tc>
        <w:tc>
          <w:tcPr>
            <w:tcW w:w="70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8.84</w:t>
            </w:r>
          </w:p>
        </w:tc>
        <w:tc>
          <w:tcPr>
            <w:tcW w:w="1080" w:type="dxa"/>
            <w:vAlign w:val="bottom"/>
            <w:gridSpan w:val="5"/>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​8/29/2032</w:t>
            </w:r>
            <w:r>
              <w:rPr>
                <w:rFonts w:ascii="Times New Roman" w:cs="Times New Roman" w:eastAsia="Times New Roman" w:hAnsi="Times New Roman"/>
                <w:sz w:val="31"/>
                <w:szCs w:val="31"/>
                <w:color w:val="auto"/>
                <w:vertAlign w:val="superscript"/>
              </w:rPr>
              <w:t>​​ ​</w:t>
            </w:r>
          </w:p>
        </w:tc>
        <w:tc>
          <w:tcPr>
            <w:tcW w:w="140" w:type="dxa"/>
            <w:vAlign w:val="bottom"/>
            <w:tcBorders>
              <w:left w:val="single" w:sz="8" w:color="CCEEFF"/>
            </w:tcBorders>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3"/>
                <w:szCs w:val="23"/>
                <w:color w:val="auto"/>
              </w:rPr>
            </w:pPr>
          </w:p>
        </w:tc>
        <w:tc>
          <w:tcPr>
            <w:tcW w:w="30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bscript"/>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1060" w:type="dxa"/>
            <w:vAlign w:val="bottom"/>
            <w:gridSpan w:val="3"/>
          </w:tcPr>
          <w:p>
            <w:pPr>
              <w:ind w:left="40"/>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​8/29/2022</w:t>
            </w: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xml:space="preserve"> ​</w:t>
            </w:r>
          </w:p>
        </w:tc>
        <w:tc>
          <w:tcPr>
            <w:tcW w:w="5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85,561</w:t>
            </w:r>
          </w:p>
        </w:tc>
        <w:tc>
          <w:tcPr>
            <w:tcW w:w="380" w:type="dxa"/>
            <w:vAlign w:val="bottom"/>
            <w:gridSpan w:val="3"/>
          </w:tcPr>
          <w:p>
            <w:pPr>
              <w:jc w:val="right"/>
              <w:ind w:right="140"/>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74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38,218</w:t>
            </w:r>
          </w:p>
        </w:tc>
        <w:tc>
          <w:tcPr>
            <w:tcW w:w="28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60" w:type="dxa"/>
            <w:vAlign w:val="bottom"/>
          </w:tcPr>
          <w:p>
            <w:pPr>
              <w:ind w:left="10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Pr>
          <w:p>
            <w:pPr>
              <w:spacing w:after="0" w:line="20" w:lineRule="exact"/>
              <w:rPr>
                <w:sz w:val="1"/>
                <w:szCs w:val="1"/>
                <w:color w:val="auto"/>
              </w:rPr>
            </w:pPr>
          </w:p>
        </w:tc>
        <w:tc>
          <w:tcPr>
            <w:tcW w:w="700" w:type="dxa"/>
            <w:vAlign w:val="bottom"/>
            <w:gridSpan w:val="3"/>
          </w:tcPr>
          <w:p>
            <w:pPr>
              <w:spacing w:after="0" w:line="18" w:lineRule="exact"/>
              <w:rPr>
                <w:sz w:val="20"/>
                <w:szCs w:val="20"/>
                <w:color w:val="auto"/>
              </w:rPr>
            </w:pPr>
            <w:r>
              <w:rPr>
                <w:rFonts w:ascii="Times New Roman" w:cs="Times New Roman" w:eastAsia="Times New Roman" w:hAnsi="Times New Roman"/>
                <w:sz w:val="2"/>
                <w:szCs w:val="2"/>
                <w:color w:val="auto"/>
                <w:vertAlign w:val="superscript"/>
              </w:rPr>
              <w:t>​​ ​ ​</w:t>
            </w:r>
            <w:r>
              <w:rPr>
                <w:rFonts w:ascii="Times New Roman" w:cs="Times New Roman" w:eastAsia="Times New Roman" w:hAnsi="Times New Roman"/>
                <w:sz w:val="1"/>
                <w:szCs w:val="1"/>
                <w:color w:val="auto"/>
              </w:rPr>
              <w:t>​ 8.84</w:t>
            </w:r>
          </w:p>
        </w:tc>
        <w:tc>
          <w:tcPr>
            <w:tcW w:w="1080" w:type="dxa"/>
            <w:vAlign w:val="bottom"/>
            <w:gridSpan w:val="5"/>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​8/29/2032</w:t>
            </w:r>
            <w:r>
              <w:rPr>
                <w:rFonts w:ascii="Times New Roman" w:cs="Times New Roman" w:eastAsia="Times New Roman" w:hAnsi="Times New Roman"/>
                <w:sz w:val="2"/>
                <w:szCs w:val="2"/>
                <w:color w:val="auto"/>
                <w:vertAlign w:val="superscript"/>
              </w:rPr>
              <w:t>​​ ​</w:t>
            </w:r>
          </w:p>
        </w:tc>
        <w:tc>
          <w:tcPr>
            <w:tcW w:w="140" w:type="dxa"/>
            <w:vAlign w:val="bottom"/>
          </w:tcPr>
          <w:p>
            <w:pPr>
              <w:ind w:left="8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line="20" w:lineRule="exact"/>
              <w:rPr>
                <w:sz w:val="1"/>
                <w:szCs w:val="1"/>
                <w:color w:val="auto"/>
              </w:rPr>
            </w:pPr>
          </w:p>
        </w:tc>
        <w:tc>
          <w:tcPr>
            <w:tcW w:w="300" w:type="dxa"/>
            <w:vAlign w:val="bottom"/>
            <w:gridSpan w:val="3"/>
          </w:tcPr>
          <w:p>
            <w:pPr>
              <w:jc w:val="right"/>
              <w:spacing w:after="0" w:line="18"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2"/>
                <w:szCs w:val="2"/>
                <w:color w:val="auto"/>
                <w:vertAlign w:val="subscript"/>
              </w:rPr>
              <w:t>​</w:t>
            </w:r>
          </w:p>
        </w:tc>
        <w:tc>
          <w:tcPr>
            <w:tcW w:w="5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tcPr>
          <w:p>
            <w:pPr>
              <w:ind w:left="100"/>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(29)(30)</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​6/22/2023</w:t>
            </w:r>
          </w:p>
        </w:tc>
        <w:tc>
          <w:tcPr>
            <w:tcW w:w="2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3"/>
                <w:szCs w:val="13"/>
                <w:color w:val="auto"/>
                <w:vertAlign w:val="subscript"/>
              </w:rPr>
              <w:t>​</w:t>
            </w:r>
          </w:p>
        </w:tc>
        <w:tc>
          <w:tcPr>
            <w:tcW w:w="5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12,834</w:t>
            </w:r>
          </w:p>
        </w:tc>
        <w:tc>
          <w:tcPr>
            <w:tcW w:w="3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4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4,546</w:t>
            </w:r>
          </w:p>
        </w:tc>
        <w:tc>
          <w:tcPr>
            <w:tcW w:w="28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ind w:left="10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00" w:type="dxa"/>
            <w:vAlign w:val="bottom"/>
            <w:gridSpan w:val="3"/>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8.84</w:t>
            </w:r>
          </w:p>
        </w:tc>
        <w:tc>
          <w:tcPr>
            <w:tcW w:w="1080" w:type="dxa"/>
            <w:vAlign w:val="bottom"/>
            <w:gridSpan w:val="5"/>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​6/22/2033</w:t>
            </w:r>
            <w:r>
              <w:rPr>
                <w:rFonts w:ascii="Times New Roman" w:cs="Times New Roman" w:eastAsia="Times New Roman" w:hAnsi="Times New Roman"/>
                <w:sz w:val="13"/>
                <w:szCs w:val="13"/>
                <w:color w:val="auto"/>
                <w:vertAlign w:val="superscript"/>
              </w:rPr>
              <w:t>​​ ​</w:t>
            </w:r>
          </w:p>
        </w:tc>
        <w:tc>
          <w:tcPr>
            <w:tcW w:w="140" w:type="dxa"/>
            <w:vAlign w:val="bottom"/>
          </w:tcPr>
          <w:p>
            <w:pPr>
              <w:ind w:left="8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4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0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5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(8)(31)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vMerge w:val="restart"/>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​10/9/2023</w:t>
            </w:r>
          </w:p>
        </w:tc>
        <w:tc>
          <w:tcPr>
            <w:tcW w:w="26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60" w:type="dxa"/>
            <w:vAlign w:val="bottom"/>
            <w:gridSpan w:val="2"/>
            <w:shd w:val="clear" w:color="auto" w:fill="CCEEFF"/>
          </w:tcPr>
          <w:p>
            <w:pPr>
              <w:ind w:left="20"/>
              <w:spacing w:after="0" w:line="18" w:lineRule="exact"/>
              <w:rPr>
                <w:sz w:val="20"/>
                <w:szCs w:val="20"/>
                <w:color w:val="auto"/>
              </w:rPr>
            </w:pPr>
            <w:r>
              <w:rPr>
                <w:rFonts w:ascii="Times New Roman" w:cs="Times New Roman" w:eastAsia="Times New Roman" w:hAnsi="Times New Roman"/>
                <w:sz w:val="1"/>
                <w:szCs w:val="1"/>
                <w:color w:val="auto"/>
              </w:rPr>
              <w:t xml:space="preserve">​​​ </w:t>
            </w:r>
            <w:r>
              <w:rPr>
                <w:rFonts w:ascii="Times New Roman" w:cs="Times New Roman" w:eastAsia="Times New Roman" w:hAnsi="Times New Roman"/>
                <w:sz w:val="2"/>
                <w:szCs w:val="2"/>
                <w:color w:val="auto"/>
                <w:vertAlign w:val="subscript"/>
              </w:rPr>
              <w:t>​</w:t>
            </w:r>
          </w:p>
        </w:tc>
        <w:tc>
          <w:tcPr>
            <w:tcW w:w="56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18,652</w:t>
            </w:r>
          </w:p>
        </w:tc>
        <w:tc>
          <w:tcPr>
            <w:tcW w:w="380" w:type="dxa"/>
            <w:vAlign w:val="bottom"/>
            <w:gridSpan w:val="3"/>
            <w:shd w:val="clear" w:color="auto" w:fill="CCEEFF"/>
          </w:tcPr>
          <w:p>
            <w:pPr>
              <w:jc w:val="right"/>
              <w:ind w:right="140"/>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80" w:type="dxa"/>
            <w:vAlign w:val="bottom"/>
            <w:shd w:val="clear" w:color="auto" w:fill="CCEEFF"/>
          </w:tcPr>
          <w:p>
            <w:pPr>
              <w:ind w:left="14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6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8,549</w:t>
            </w:r>
          </w:p>
        </w:tc>
        <w:tc>
          <w:tcPr>
            <w:tcW w:w="28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60" w:type="dxa"/>
            <w:vAlign w:val="bottom"/>
            <w:tcBorders>
              <w:left w:val="single" w:sz="8" w:color="CCEEFF"/>
            </w:tcBorders>
            <w:shd w:val="clear" w:color="auto" w:fill="CCEEFF"/>
          </w:tcPr>
          <w:p>
            <w:pPr>
              <w:ind w:left="10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3"/>
            <w:shd w:val="clear" w:color="auto" w:fill="CCEEFF"/>
          </w:tcPr>
          <w:p>
            <w:pPr>
              <w:spacing w:after="0" w:line="18" w:lineRule="exact"/>
              <w:rPr>
                <w:sz w:val="20"/>
                <w:szCs w:val="20"/>
                <w:color w:val="auto"/>
              </w:rPr>
            </w:pPr>
            <w:r>
              <w:rPr>
                <w:rFonts w:ascii="Times New Roman" w:cs="Times New Roman" w:eastAsia="Times New Roman" w:hAnsi="Times New Roman"/>
                <w:sz w:val="2"/>
                <w:szCs w:val="2"/>
                <w:color w:val="auto"/>
                <w:vertAlign w:val="superscript"/>
              </w:rPr>
              <w:t>​​ ​ ​</w:t>
            </w:r>
            <w:r>
              <w:rPr>
                <w:rFonts w:ascii="Times New Roman" w:cs="Times New Roman" w:eastAsia="Times New Roman" w:hAnsi="Times New Roman"/>
                <w:sz w:val="1"/>
                <w:szCs w:val="1"/>
                <w:color w:val="auto"/>
              </w:rPr>
              <w:t>​ 8.84</w:t>
            </w:r>
          </w:p>
        </w:tc>
        <w:tc>
          <w:tcPr>
            <w:tcW w:w="1080" w:type="dxa"/>
            <w:vAlign w:val="bottom"/>
            <w:gridSpan w:val="5"/>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​10/8/2033</w:t>
            </w:r>
            <w:r>
              <w:rPr>
                <w:rFonts w:ascii="Times New Roman" w:cs="Times New Roman" w:eastAsia="Times New Roman" w:hAnsi="Times New Roman"/>
                <w:sz w:val="2"/>
                <w:szCs w:val="2"/>
                <w:color w:val="auto"/>
                <w:vertAlign w:val="superscript"/>
              </w:rPr>
              <w:t>​​ ​</w:t>
            </w:r>
          </w:p>
        </w:tc>
        <w:tc>
          <w:tcPr>
            <w:tcW w:w="140" w:type="dxa"/>
            <w:vAlign w:val="bottom"/>
            <w:tcBorders>
              <w:left w:val="single" w:sz="8" w:color="CCEEFF"/>
            </w:tcBorders>
            <w:shd w:val="clear" w:color="auto" w:fill="CCEEFF"/>
          </w:tcPr>
          <w:p>
            <w:pPr>
              <w:ind w:left="8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CCEEFF"/>
          </w:tcPr>
          <w:p>
            <w:pPr>
              <w:jc w:val="right"/>
              <w:spacing w:after="0" w:line="18"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2"/>
                <w:szCs w:val="2"/>
                <w:color w:val="auto"/>
                <w:vertAlign w:val="subscript"/>
              </w:rPr>
              <w:t>​</w:t>
            </w:r>
          </w:p>
        </w:tc>
        <w:tc>
          <w:tcPr>
            <w:tcW w:w="560" w:type="dxa"/>
            <w:vAlign w:val="bottom"/>
            <w:tcBorders>
              <w:right w:val="single" w:sz="8" w:color="CCEEFF"/>
            </w:tcBorders>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shd w:val="clear" w:color="auto" w:fill="CCEEFF"/>
          </w:tcPr>
          <w:p>
            <w:pPr>
              <w:ind w:left="100"/>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(10)(32)</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vMerge w:val="restart"/>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​3/29/2024</w:t>
            </w:r>
          </w:p>
        </w:tc>
        <w:tc>
          <w:tcPr>
            <w:tcW w:w="260" w:type="dxa"/>
            <w:vAlign w:val="bottom"/>
            <w:gridSpan w:val="2"/>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80" w:type="dxa"/>
            <w:vAlign w:val="bottom"/>
            <w:gridSpan w:val="3"/>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tcBorders>
              <w:right w:val="single" w:sz="8" w:color="CCEEFF"/>
            </w:tcBorders>
            <w:gridSpan w:val="2"/>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3"/>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tcBorders>
              <w:lef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40" w:type="dxa"/>
            <w:vAlign w:val="bottom"/>
          </w:tcPr>
          <w:p>
            <w:pPr>
              <w:ind w:left="20"/>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Pr>
          <w:p>
            <w:pPr>
              <w:ind w:left="80"/>
              <w:spacing w:after="0" w:line="18" w:lineRule="exact"/>
              <w:rPr>
                <w:sz w:val="20"/>
                <w:szCs w:val="20"/>
                <w:color w:val="auto"/>
              </w:rPr>
            </w:pPr>
            <w:r>
              <w:rPr>
                <w:rFonts w:ascii="Times New Roman" w:cs="Times New Roman" w:eastAsia="Times New Roman" w:hAnsi="Times New Roman"/>
                <w:sz w:val="2"/>
                <w:szCs w:val="2"/>
                <w:color w:val="auto"/>
              </w:rPr>
              <w:t>​</w:t>
            </w:r>
          </w:p>
        </w:tc>
        <w:tc>
          <w:tcPr>
            <w:tcW w:w="5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54,545</w:t>
            </w:r>
          </w:p>
        </w:tc>
        <w:tc>
          <w:tcPr>
            <w:tcW w:w="380" w:type="dxa"/>
            <w:vAlign w:val="bottom"/>
            <w:gridSpan w:val="3"/>
          </w:tcPr>
          <w:p>
            <w:pPr>
              <w:jc w:val="right"/>
              <w:ind w:right="140"/>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74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30,682</w:t>
            </w:r>
          </w:p>
        </w:tc>
        <w:tc>
          <w:tcPr>
            <w:tcW w:w="28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60" w:type="dxa"/>
            <w:vAlign w:val="bottom"/>
          </w:tcPr>
          <w:p>
            <w:pPr>
              <w:ind w:left="10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Pr>
          <w:p>
            <w:pPr>
              <w:spacing w:after="0" w:line="20" w:lineRule="exact"/>
              <w:rPr>
                <w:sz w:val="1"/>
                <w:szCs w:val="1"/>
                <w:color w:val="auto"/>
              </w:rPr>
            </w:pPr>
          </w:p>
        </w:tc>
        <w:tc>
          <w:tcPr>
            <w:tcW w:w="700" w:type="dxa"/>
            <w:vAlign w:val="bottom"/>
            <w:gridSpan w:val="3"/>
          </w:tcPr>
          <w:p>
            <w:pPr>
              <w:spacing w:after="0" w:line="18" w:lineRule="exact"/>
              <w:rPr>
                <w:sz w:val="20"/>
                <w:szCs w:val="20"/>
                <w:color w:val="auto"/>
              </w:rPr>
            </w:pPr>
            <w:r>
              <w:rPr>
                <w:rFonts w:ascii="Times New Roman" w:cs="Times New Roman" w:eastAsia="Times New Roman" w:hAnsi="Times New Roman"/>
                <w:sz w:val="2"/>
                <w:szCs w:val="2"/>
                <w:color w:val="auto"/>
                <w:vertAlign w:val="superscript"/>
              </w:rPr>
              <w:t>​​ ​ ​</w:t>
            </w:r>
            <w:r>
              <w:rPr>
                <w:rFonts w:ascii="Times New Roman" w:cs="Times New Roman" w:eastAsia="Times New Roman" w:hAnsi="Times New Roman"/>
                <w:sz w:val="1"/>
                <w:szCs w:val="1"/>
                <w:color w:val="auto"/>
              </w:rPr>
              <w:t>​ 8.84</w:t>
            </w:r>
          </w:p>
        </w:tc>
        <w:tc>
          <w:tcPr>
            <w:tcW w:w="1080" w:type="dxa"/>
            <w:vAlign w:val="bottom"/>
            <w:gridSpan w:val="5"/>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​3/28/2034</w:t>
            </w:r>
            <w:r>
              <w:rPr>
                <w:rFonts w:ascii="Times New Roman" w:cs="Times New Roman" w:eastAsia="Times New Roman" w:hAnsi="Times New Roman"/>
                <w:sz w:val="2"/>
                <w:szCs w:val="2"/>
                <w:color w:val="auto"/>
                <w:vertAlign w:val="superscript"/>
              </w:rPr>
              <w:t>​​ ​</w:t>
            </w:r>
          </w:p>
        </w:tc>
        <w:tc>
          <w:tcPr>
            <w:tcW w:w="140" w:type="dxa"/>
            <w:vAlign w:val="bottom"/>
          </w:tcPr>
          <w:p>
            <w:pPr>
              <w:ind w:left="8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line="20" w:lineRule="exact"/>
              <w:rPr>
                <w:sz w:val="1"/>
                <w:szCs w:val="1"/>
                <w:color w:val="auto"/>
              </w:rPr>
            </w:pPr>
          </w:p>
        </w:tc>
        <w:tc>
          <w:tcPr>
            <w:tcW w:w="300" w:type="dxa"/>
            <w:vAlign w:val="bottom"/>
            <w:gridSpan w:val="3"/>
          </w:tcPr>
          <w:p>
            <w:pPr>
              <w:jc w:val="right"/>
              <w:spacing w:after="0" w:line="18"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2"/>
                <w:szCs w:val="2"/>
                <w:color w:val="auto"/>
                <w:vertAlign w:val="subscript"/>
              </w:rPr>
              <w:t>​</w:t>
            </w:r>
          </w:p>
        </w:tc>
        <w:tc>
          <w:tcPr>
            <w:tcW w:w="5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tcPr>
          <w:p>
            <w:pPr>
              <w:ind w:left="100"/>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(12)(33)</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vMerge w:val="restart"/>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 5/6/2024</w:t>
            </w:r>
          </w:p>
        </w:tc>
        <w:tc>
          <w:tcPr>
            <w:tcW w:w="140" w:type="dxa"/>
            <w:vAlign w:val="bottom"/>
            <w:vMerge w:val="restart"/>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940" w:type="dxa"/>
            <w:vAlign w:val="bottom"/>
            <w:gridSpan w:val="4"/>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 w:type="dxa"/>
            <w:vAlign w:val="bottom"/>
            <w:shd w:val="clear" w:color="auto" w:fill="CCEEFF"/>
          </w:tcPr>
          <w:p>
            <w:pPr>
              <w:ind w:left="80"/>
              <w:spacing w:after="0" w:line="18" w:lineRule="exact"/>
              <w:rPr>
                <w:sz w:val="20"/>
                <w:szCs w:val="20"/>
                <w:color w:val="auto"/>
              </w:rPr>
            </w:pPr>
            <w:r>
              <w:rPr>
                <w:rFonts w:ascii="Times New Roman" w:cs="Times New Roman" w:eastAsia="Times New Roman" w:hAnsi="Times New Roman"/>
                <w:sz w:val="2"/>
                <w:szCs w:val="2"/>
                <w:color w:val="auto"/>
              </w:rPr>
              <w:t>​</w:t>
            </w:r>
          </w:p>
        </w:tc>
        <w:tc>
          <w:tcPr>
            <w:tcW w:w="940" w:type="dxa"/>
            <w:vAlign w:val="bottom"/>
            <w:gridSpan w:val="4"/>
            <w:shd w:val="clear" w:color="auto" w:fill="CCEEFF"/>
          </w:tcPr>
          <w:p>
            <w:pPr>
              <w:jc w:val="right"/>
              <w:ind w:right="140"/>
              <w:spacing w:after="0" w:line="18" w:lineRule="exact"/>
              <w:rPr>
                <w:sz w:val="20"/>
                <w:szCs w:val="20"/>
                <w:color w:val="auto"/>
              </w:rPr>
            </w:pPr>
            <w:r>
              <w:rPr>
                <w:rFonts w:ascii="Times New Roman" w:cs="Times New Roman" w:eastAsia="Times New Roman" w:hAnsi="Times New Roman"/>
                <w:sz w:val="2"/>
                <w:szCs w:val="2"/>
                <w:color w:val="auto"/>
                <w:vertAlign w:val="subscript"/>
              </w:rPr>
              <w:t>—</w:t>
            </w:r>
            <w:r>
              <w:rPr>
                <w:rFonts w:ascii="Times New Roman" w:cs="Times New Roman" w:eastAsia="Times New Roman" w:hAnsi="Times New Roman"/>
                <w:sz w:val="1"/>
                <w:szCs w:val="1"/>
                <w:color w:val="auto"/>
              </w:rPr>
              <w:t xml:space="preserve"> ​ ​</w:t>
            </w:r>
          </w:p>
        </w:tc>
        <w:tc>
          <w:tcPr>
            <w:tcW w:w="10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80" w:type="dxa"/>
            <w:vAlign w:val="bottom"/>
            <w:shd w:val="clear" w:color="auto" w:fill="CCEEFF"/>
          </w:tcPr>
          <w:p>
            <w:pPr>
              <w:ind w:left="14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56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80" w:type="dxa"/>
            <w:vAlign w:val="bottom"/>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700" w:type="dxa"/>
            <w:vAlign w:val="bottom"/>
            <w:tcBorders>
              <w:left w:val="single" w:sz="8" w:color="CCEEFF"/>
            </w:tcBorders>
            <w:gridSpan w:val="2"/>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70,802</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780" w:type="dxa"/>
            <w:vAlign w:val="bottom"/>
            <w:gridSpan w:val="8"/>
            <w:shd w:val="clear" w:color="auto" w:fill="CCEEFF"/>
          </w:tcPr>
          <w:p>
            <w:pPr>
              <w:spacing w:after="0" w:line="18" w:lineRule="exact"/>
              <w:rPr>
                <w:sz w:val="20"/>
                <w:szCs w:val="20"/>
                <w:color w:val="auto"/>
              </w:rPr>
            </w:pPr>
            <w:r>
              <w:rPr>
                <w:rFonts w:ascii="Times New Roman" w:cs="Times New Roman" w:eastAsia="Times New Roman" w:hAnsi="Times New Roman"/>
                <w:sz w:val="2"/>
                <w:szCs w:val="2"/>
                <w:color w:val="auto"/>
                <w:vertAlign w:val="superscript"/>
              </w:rPr>
              <w:t>​​ ​ ​</w:t>
            </w:r>
            <w:r>
              <w:rPr>
                <w:rFonts w:ascii="Times New Roman" w:cs="Times New Roman" w:eastAsia="Times New Roman" w:hAnsi="Times New Roman"/>
                <w:sz w:val="1"/>
                <w:szCs w:val="1"/>
                <w:color w:val="auto"/>
              </w:rPr>
              <w:t xml:space="preserve">​10.19 </w:t>
            </w: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 5/5/2034</w:t>
            </w:r>
            <w:r>
              <w:rPr>
                <w:rFonts w:ascii="Times New Roman" w:cs="Times New Roman" w:eastAsia="Times New Roman" w:hAnsi="Times New Roman"/>
                <w:sz w:val="2"/>
                <w:szCs w:val="2"/>
                <w:color w:val="auto"/>
                <w:vertAlign w:val="superscript"/>
              </w:rPr>
              <w:t>​​ ​</w:t>
            </w:r>
          </w:p>
        </w:tc>
        <w:tc>
          <w:tcPr>
            <w:tcW w:w="140" w:type="dxa"/>
            <w:vAlign w:val="bottom"/>
            <w:tcBorders>
              <w:left w:val="single" w:sz="8" w:color="CCEEFF"/>
            </w:tcBorders>
            <w:shd w:val="clear" w:color="auto" w:fill="CCEEFF"/>
          </w:tcPr>
          <w:p>
            <w:pPr>
              <w:ind w:left="80"/>
              <w:spacing w:after="0" w:line="18"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2"/>
                <w:szCs w:val="2"/>
                <w:color w:val="auto"/>
                <w:vertAlign w:val="subscript"/>
              </w:rPr>
              <w:t>​</w:t>
            </w:r>
          </w:p>
        </w:tc>
        <w:tc>
          <w:tcPr>
            <w:tcW w:w="44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CCEEFF"/>
          </w:tcPr>
          <w:p>
            <w:pPr>
              <w:jc w:val="right"/>
              <w:spacing w:after="0" w:line="18"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2"/>
                <w:szCs w:val="2"/>
                <w:color w:val="auto"/>
                <w:vertAlign w:val="subscript"/>
              </w:rPr>
              <w:t>​</w:t>
            </w:r>
          </w:p>
        </w:tc>
        <w:tc>
          <w:tcPr>
            <w:tcW w:w="560" w:type="dxa"/>
            <w:vAlign w:val="bottom"/>
            <w:tcBorders>
              <w:right w:val="single" w:sz="8" w:color="CCEEFF"/>
            </w:tcBorders>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200" w:type="dxa"/>
            <w:vAlign w:val="bottom"/>
            <w:shd w:val="clear" w:color="auto" w:fill="CCEEFF"/>
          </w:tcPr>
          <w:p>
            <w:pPr>
              <w:ind w:left="100"/>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2"/>
                <w:szCs w:val="12"/>
                <w:color w:val="auto"/>
                <w:w w:val="89"/>
              </w:rPr>
              <w:t>(14)</w:t>
            </w: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 6/6/2024</w:t>
            </w:r>
          </w:p>
        </w:tc>
        <w:tc>
          <w:tcPr>
            <w:tcW w:w="1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64,171</w:t>
            </w:r>
          </w:p>
        </w:tc>
        <w:tc>
          <w:tcPr>
            <w:tcW w:w="380" w:type="dxa"/>
            <w:vAlign w:val="bottom"/>
            <w:gridSpan w:val="3"/>
            <w:shd w:val="clear" w:color="auto" w:fill="CCEEFF"/>
          </w:tcPr>
          <w:p>
            <w:pPr>
              <w:jc w:val="right"/>
              <w:ind w:right="140"/>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 40,107</w:t>
            </w:r>
          </w:p>
        </w:tc>
        <w:tc>
          <w:tcPr>
            <w:tcW w:w="28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left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5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780" w:type="dxa"/>
            <w:vAlign w:val="bottom"/>
            <w:gridSpan w:val="8"/>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xml:space="preserve">​13.32 </w:t>
            </w: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 6/5/2034</w:t>
            </w:r>
            <w:r>
              <w:rPr>
                <w:rFonts w:ascii="Times New Roman" w:cs="Times New Roman" w:eastAsia="Times New Roman" w:hAnsi="Times New Roman"/>
                <w:sz w:val="13"/>
                <w:szCs w:val="13"/>
                <w:color w:val="auto"/>
                <w:vertAlign w:val="superscript"/>
              </w:rPr>
              <w:t>​​ ​</w:t>
            </w:r>
          </w:p>
        </w:tc>
        <w:tc>
          <w:tcPr>
            <w:tcW w:w="140" w:type="dxa"/>
            <w:vAlign w:val="bottom"/>
            <w:tcBorders>
              <w:left w:val="single" w:sz="8" w:color="CCEEFF"/>
            </w:tcBorders>
            <w:shd w:val="clear" w:color="auto" w:fill="CCEEFF"/>
          </w:tcPr>
          <w:p>
            <w:pPr>
              <w:ind w:left="80"/>
              <w:spacing w:after="0" w:line="12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vertAlign w:val="subscript"/>
              </w:rPr>
              <w:t>​</w:t>
            </w: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300" w:type="dxa"/>
            <w:vAlign w:val="bottom"/>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560" w:type="dxa"/>
            <w:vAlign w:val="bottom"/>
            <w:tcBorders>
              <w:right w:val="single" w:sz="8" w:color="CCEEFF"/>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(15)(34)</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​6/27/2024</w:t>
            </w:r>
          </w:p>
        </w:tc>
        <w:tc>
          <w:tcPr>
            <w:tcW w:w="1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2,005</w:t>
            </w:r>
          </w:p>
        </w:tc>
        <w:tc>
          <w:tcPr>
            <w:tcW w:w="8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40"/>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ind w:left="1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3,342</w:t>
            </w:r>
          </w:p>
        </w:tc>
        <w:tc>
          <w:tcPr>
            <w:tcW w:w="28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left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780" w:type="dxa"/>
            <w:vAlign w:val="bottom"/>
            <w:gridSpan w:val="8"/>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xml:space="preserve">​16.00 </w:t>
            </w: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​6/26/2034</w:t>
            </w:r>
            <w:r>
              <w:rPr>
                <w:rFonts w:ascii="Times New Roman" w:cs="Times New Roman" w:eastAsia="Times New Roman" w:hAnsi="Times New Roman"/>
                <w:sz w:val="13"/>
                <w:szCs w:val="13"/>
                <w:color w:val="auto"/>
                <w:vertAlign w:val="superscript"/>
              </w:rPr>
              <w:t>​​ ​</w:t>
            </w:r>
          </w:p>
        </w:tc>
        <w:tc>
          <w:tcPr>
            <w:tcW w:w="140" w:type="dxa"/>
            <w:vAlign w:val="bottom"/>
            <w:tcBorders>
              <w:left w:val="single" w:sz="8" w:color="CCEEFF"/>
            </w:tcBorders>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300" w:type="dxa"/>
            <w:vAlign w:val="bottom"/>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560" w:type="dxa"/>
            <w:vAlign w:val="bottom"/>
            <w:tcBorders>
              <w:right w:val="single" w:sz="8" w:color="CCEEFF"/>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9"/>
              </w:rPr>
              <w:t>(17)</w:t>
            </w: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vMerge w:val="restart"/>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​2/18/2025</w:t>
            </w:r>
          </w:p>
        </w:tc>
        <w:tc>
          <w:tcPr>
            <w:tcW w:w="140" w:type="dxa"/>
            <w:vAlign w:val="bottom"/>
            <w:vMerge w:val="restart"/>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​180,000</w:t>
            </w:r>
          </w:p>
        </w:tc>
        <w:tc>
          <w:tcPr>
            <w:tcW w:w="280" w:type="dxa"/>
            <w:vAlign w:val="bottom"/>
            <w:gridSpan w:val="2"/>
            <w:vMerge w:val="restart"/>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left w:val="single" w:sz="8" w:color="CCEEFF"/>
            </w:tcBorders>
            <w:vMerge w:val="restart"/>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540" w:type="dxa"/>
            <w:vAlign w:val="bottom"/>
            <w:vMerge w:val="restart"/>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1780" w:type="dxa"/>
            <w:vAlign w:val="bottom"/>
            <w:gridSpan w:val="8"/>
            <w:vMerge w:val="restart"/>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xml:space="preserve">​ 5.06 </w:t>
            </w: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​2/17/2035</w:t>
            </w:r>
            <w:r>
              <w:rPr>
                <w:rFonts w:ascii="Times New Roman" w:cs="Times New Roman" w:eastAsia="Times New Roman" w:hAnsi="Times New Roman"/>
                <w:sz w:val="13"/>
                <w:szCs w:val="13"/>
                <w:color w:val="auto"/>
                <w:vertAlign w:val="superscript"/>
              </w:rPr>
              <w:t>​​ ​</w:t>
            </w:r>
          </w:p>
        </w:tc>
        <w:tc>
          <w:tcPr>
            <w:tcW w:w="140" w:type="dxa"/>
            <w:vAlign w:val="bottom"/>
            <w:tcBorders>
              <w:left w:val="single" w:sz="8" w:color="CCEEFF"/>
            </w:tcBorders>
            <w:vMerge w:val="restart"/>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440" w:type="dxa"/>
            <w:vAlign w:val="bottom"/>
            <w:vMerge w:val="restart"/>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3"/>
            <w:vMerge w:val="restart"/>
            <w:shd w:val="clear" w:color="auto" w:fill="CCEEFF"/>
          </w:tcPr>
          <w:p>
            <w:pPr>
              <w:jc w:val="right"/>
              <w:spacing w:after="0" w:line="12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560" w:type="dxa"/>
            <w:vAlign w:val="bottom"/>
            <w:tcBorders>
              <w:right w:val="single" w:sz="8" w:color="CCEEFF"/>
            </w:tcBorders>
            <w:vMerge w:val="restart"/>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
        </w:trPr>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 w:type="dxa"/>
            <w:vAlign w:val="bottom"/>
            <w:vMerge w:val="continue"/>
            <w:shd w:val="clear" w:color="auto" w:fill="CCEEFF"/>
          </w:tcPr>
          <w:p>
            <w:pPr>
              <w:spacing w:after="0" w:line="20" w:lineRule="exact"/>
              <w:rPr>
                <w:sz w:val="1"/>
                <w:szCs w:val="1"/>
                <w:color w:val="auto"/>
              </w:rPr>
            </w:pPr>
          </w:p>
        </w:tc>
        <w:tc>
          <w:tcPr>
            <w:tcW w:w="560" w:type="dxa"/>
            <w:vAlign w:val="bottom"/>
            <w:vMerge w:val="continue"/>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CCEEFF"/>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100" w:type="dxa"/>
            <w:vAlign w:val="bottom"/>
            <w:shd w:val="clear" w:color="auto" w:fill="CCEEFF"/>
          </w:tcPr>
          <w:p>
            <w:pPr>
              <w:spacing w:after="0" w:line="20" w:lineRule="exact"/>
              <w:rPr>
                <w:sz w:val="1"/>
                <w:szCs w:val="1"/>
                <w:color w:val="auto"/>
              </w:rPr>
            </w:pPr>
          </w:p>
        </w:tc>
        <w:tc>
          <w:tcPr>
            <w:tcW w:w="100" w:type="dxa"/>
            <w:vAlign w:val="bottom"/>
            <w:vMerge w:val="continue"/>
            <w:shd w:val="clear" w:color="auto" w:fill="CCEEFF"/>
          </w:tcPr>
          <w:p>
            <w:pPr>
              <w:spacing w:after="0" w:line="20" w:lineRule="exact"/>
              <w:rPr>
                <w:sz w:val="1"/>
                <w:szCs w:val="1"/>
                <w:color w:val="auto"/>
              </w:rPr>
            </w:pPr>
          </w:p>
        </w:tc>
        <w:tc>
          <w:tcPr>
            <w:tcW w:w="740" w:type="dxa"/>
            <w:vAlign w:val="bottom"/>
            <w:gridSpan w:val="2"/>
            <w:vMerge w:val="continue"/>
            <w:shd w:val="clear" w:color="auto" w:fill="CCEEFF"/>
          </w:tcPr>
          <w:p>
            <w:pPr>
              <w:spacing w:after="0" w:line="20" w:lineRule="exact"/>
              <w:rPr>
                <w:sz w:val="1"/>
                <w:szCs w:val="1"/>
                <w:color w:val="auto"/>
              </w:rPr>
            </w:pPr>
          </w:p>
        </w:tc>
        <w:tc>
          <w:tcPr>
            <w:tcW w:w="280" w:type="dxa"/>
            <w:vAlign w:val="bottom"/>
            <w:gridSpan w:val="2"/>
            <w:vMerge w:val="continue"/>
            <w:shd w:val="clear" w:color="auto" w:fill="CCEEFF"/>
          </w:tcPr>
          <w:p>
            <w:pPr>
              <w:spacing w:after="0" w:line="20" w:lineRule="exact"/>
              <w:rPr>
                <w:sz w:val="1"/>
                <w:szCs w:val="1"/>
                <w:color w:val="auto"/>
              </w:rPr>
            </w:pPr>
          </w:p>
        </w:tc>
        <w:tc>
          <w:tcPr>
            <w:tcW w:w="160" w:type="dxa"/>
            <w:vAlign w:val="bottom"/>
            <w:tcBorders>
              <w:left w:val="single" w:sz="8" w:color="CCEEFF"/>
            </w:tcBorders>
            <w:vMerge w:val="continue"/>
            <w:shd w:val="clear" w:color="auto" w:fill="CCEEFF"/>
          </w:tcPr>
          <w:p>
            <w:pPr>
              <w:spacing w:after="0" w:line="20" w:lineRule="exact"/>
              <w:rPr>
                <w:sz w:val="1"/>
                <w:szCs w:val="1"/>
                <w:color w:val="auto"/>
              </w:rPr>
            </w:pPr>
          </w:p>
        </w:tc>
        <w:tc>
          <w:tcPr>
            <w:tcW w:w="540" w:type="dxa"/>
            <w:vAlign w:val="bottom"/>
            <w:vMerge w:val="continue"/>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780" w:type="dxa"/>
            <w:vAlign w:val="bottom"/>
            <w:gridSpan w:val="8"/>
            <w:vMerge w:val="continue"/>
            <w:shd w:val="clear" w:color="auto" w:fill="CCEEFF"/>
          </w:tcPr>
          <w:p>
            <w:pPr>
              <w:spacing w:after="0" w:line="20" w:lineRule="exact"/>
              <w:rPr>
                <w:sz w:val="1"/>
                <w:szCs w:val="1"/>
                <w:color w:val="auto"/>
              </w:rPr>
            </w:pPr>
          </w:p>
        </w:tc>
        <w:tc>
          <w:tcPr>
            <w:tcW w:w="140" w:type="dxa"/>
            <w:vAlign w:val="bottom"/>
            <w:tcBorders>
              <w:left w:val="single" w:sz="8" w:color="CCEEFF"/>
            </w:tcBorders>
            <w:vMerge w:val="continue"/>
            <w:shd w:val="clear" w:color="auto" w:fill="CCEEFF"/>
          </w:tcPr>
          <w:p>
            <w:pPr>
              <w:spacing w:after="0" w:line="20" w:lineRule="exact"/>
              <w:rPr>
                <w:sz w:val="1"/>
                <w:szCs w:val="1"/>
                <w:color w:val="auto"/>
              </w:rPr>
            </w:pPr>
          </w:p>
        </w:tc>
        <w:tc>
          <w:tcPr>
            <w:tcW w:w="440" w:type="dxa"/>
            <w:vAlign w:val="bottom"/>
            <w:vMerge w:val="continue"/>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3"/>
            <w:vMerge w:val="continue"/>
            <w:shd w:val="clear" w:color="auto" w:fill="CCEEFF"/>
          </w:tcPr>
          <w:p>
            <w:pPr>
              <w:spacing w:after="0" w:line="20" w:lineRule="exact"/>
              <w:rPr>
                <w:sz w:val="1"/>
                <w:szCs w:val="1"/>
                <w:color w:val="auto"/>
              </w:rPr>
            </w:pPr>
          </w:p>
        </w:tc>
        <w:tc>
          <w:tcPr>
            <w:tcW w:w="560" w:type="dxa"/>
            <w:vAlign w:val="bottom"/>
            <w:tcBorders>
              <w:right w:val="single" w:sz="8" w:color="CCEEFF"/>
            </w:tcBorders>
            <w:vMerge w:val="continue"/>
            <w:shd w:val="clear" w:color="auto" w:fill="CCEEFF"/>
          </w:tcPr>
          <w:p>
            <w:pPr>
              <w:spacing w:after="0" w:line="20" w:lineRule="exact"/>
              <w:rPr>
                <w:sz w:val="1"/>
                <w:szCs w:val="1"/>
                <w:color w:val="auto"/>
              </w:rPr>
            </w:pPr>
          </w:p>
        </w:tc>
        <w:tc>
          <w:tcPr>
            <w:tcW w:w="20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9"/>
              </w:rPr>
              <w:t>(18)</w:t>
            </w: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​7/29/2025</w:t>
            </w:r>
          </w:p>
        </w:tc>
        <w:tc>
          <w:tcPr>
            <w:tcW w:w="1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2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​101,850</w:t>
            </w:r>
          </w:p>
        </w:tc>
        <w:tc>
          <w:tcPr>
            <w:tcW w:w="28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left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780" w:type="dxa"/>
            <w:vAlign w:val="bottom"/>
            <w:gridSpan w:val="8"/>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vertAlign w:val="superscript"/>
              </w:rPr>
              <w:t>​​ ​ ​</w:t>
            </w:r>
            <w:r>
              <w:rPr>
                <w:rFonts w:ascii="Times New Roman" w:cs="Times New Roman" w:eastAsia="Times New Roman" w:hAnsi="Times New Roman"/>
                <w:sz w:val="10"/>
                <w:szCs w:val="10"/>
                <w:color w:val="auto"/>
              </w:rPr>
              <w:t xml:space="preserve">​ 3.95 </w:t>
            </w: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​7/28/2035</w:t>
            </w:r>
            <w:r>
              <w:rPr>
                <w:rFonts w:ascii="Times New Roman" w:cs="Times New Roman" w:eastAsia="Times New Roman" w:hAnsi="Times New Roman"/>
                <w:sz w:val="13"/>
                <w:szCs w:val="13"/>
                <w:color w:val="auto"/>
                <w:vertAlign w:val="superscript"/>
              </w:rPr>
              <w:t>​​ ​</w:t>
            </w:r>
          </w:p>
        </w:tc>
        <w:tc>
          <w:tcPr>
            <w:tcW w:w="140" w:type="dxa"/>
            <w:vAlign w:val="bottom"/>
            <w:tcBorders>
              <w:left w:val="single" w:sz="8" w:color="CCEEFF"/>
            </w:tcBorders>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300" w:type="dxa"/>
            <w:vAlign w:val="bottom"/>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560" w:type="dxa"/>
            <w:vAlign w:val="bottom"/>
            <w:tcBorders>
              <w:right w:val="single" w:sz="8" w:color="CCEEFF"/>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9"/>
              </w:rPr>
              <w:t>(19)</w:t>
            </w: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​7/29/2025</w:t>
            </w:r>
          </w:p>
        </w:tc>
        <w:tc>
          <w:tcPr>
            <w:tcW w:w="1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80"/>
              <w:spacing w:after="0" w:line="120"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2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ind w:left="1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left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26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0"/>
                <w:szCs w:val="10"/>
                <w:color w:val="auto"/>
              </w:rPr>
              <w:t>​​ ​ ​</w:t>
            </w:r>
            <w:r>
              <w:rPr>
                <w:rFonts w:ascii="Times New Roman" w:cs="Times New Roman" w:eastAsia="Times New Roman" w:hAnsi="Times New Roman"/>
                <w:sz w:val="13"/>
                <w:szCs w:val="13"/>
                <w:color w:val="auto"/>
                <w:vertAlign w:val="subscript"/>
              </w:rPr>
              <w:t>​</w:t>
            </w:r>
          </w:p>
        </w:tc>
        <w:tc>
          <w:tcPr>
            <w:tcW w:w="720" w:type="dxa"/>
            <w:vAlign w:val="bottom"/>
            <w:gridSpan w:val="3"/>
            <w:shd w:val="clear" w:color="auto" w:fill="CCEEFF"/>
          </w:tcPr>
          <w:p>
            <w:pPr>
              <w:ind w:left="200"/>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13"/>
                <w:szCs w:val="13"/>
                <w:color w:val="auto"/>
                <w:vertAlign w:val="subscript"/>
              </w:rPr>
              <w:t>​</w:t>
            </w:r>
          </w:p>
        </w:tc>
        <w:tc>
          <w:tcPr>
            <w:tcW w:w="4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bscript"/>
              </w:rPr>
              <w:t>—</w:t>
            </w:r>
            <w:r>
              <w:rPr>
                <w:rFonts w:ascii="Times New Roman" w:cs="Times New Roman" w:eastAsia="Times New Roman" w:hAnsi="Times New Roman"/>
                <w:sz w:val="10"/>
                <w:szCs w:val="10"/>
                <w:color w:val="auto"/>
              </w:rPr>
              <w:t>​​ ​</w:t>
            </w:r>
          </w:p>
        </w:tc>
        <w:tc>
          <w:tcPr>
            <w:tcW w:w="580" w:type="dxa"/>
            <w:vAlign w:val="bottom"/>
            <w:tcBorders>
              <w:left w:val="single" w:sz="8" w:color="CCEEFF"/>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​25,450</w:t>
            </w:r>
          </w:p>
        </w:tc>
        <w:tc>
          <w:tcPr>
            <w:tcW w:w="100" w:type="dxa"/>
            <w:vAlign w:val="bottom"/>
            <w:tcBorders>
              <w:right w:val="single" w:sz="8" w:color="CCEEFF"/>
            </w:tcBorders>
            <w:shd w:val="clear" w:color="auto" w:fill="CCEEFF"/>
          </w:tcPr>
          <w:p>
            <w:pPr>
              <w:spacing w:after="0"/>
              <w:rPr>
                <w:sz w:val="10"/>
                <w:szCs w:val="10"/>
                <w:color w:val="auto"/>
              </w:rPr>
            </w:pPr>
          </w:p>
        </w:tc>
        <w:tc>
          <w:tcPr>
            <w:tcW w:w="860" w:type="dxa"/>
            <w:vAlign w:val="bottom"/>
            <w:tcBorders>
              <w:right w:val="single" w:sz="8" w:color="CCEEFF"/>
            </w:tcBorders>
            <w:gridSpan w:val="4"/>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vertAlign w:val="superscript"/>
              </w:rPr>
              <w:t>​​ ​</w:t>
            </w:r>
            <w:r>
              <w:rPr>
                <w:rFonts w:ascii="Times New Roman" w:cs="Times New Roman" w:eastAsia="Times New Roman" w:hAnsi="Times New Roman"/>
                <w:sz w:val="10"/>
                <w:szCs w:val="10"/>
                <w:color w:val="auto"/>
              </w:rPr>
              <w:t xml:space="preserve"> ​248,392</w:t>
            </w:r>
          </w:p>
        </w:tc>
        <w:tc>
          <w:tcPr>
            <w:tcW w:w="20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9"/>
              </w:rPr>
              <w:t>(25)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89"/>
              </w:rPr>
              <w:t>(26)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-5537200</wp:posOffset>
            </wp:positionV>
            <wp:extent cx="4705985" cy="55378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05985" cy="55378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220"/>
            <w:col w:w="7480"/>
          </w:cols>
          <w:pgMar w:left="580" w:top="97" w:right="109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47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prior to our IPO were granted under the 2021 Plan or our 2024 POP, and all of the option awards following our IPO were granted under our 2024 EIP.</w:t>
      </w:r>
    </w:p>
    <w:p>
      <w:pPr>
        <w:spacing w:after="0" w:line="13" w:lineRule="exact"/>
        <w:rPr>
          <w:rFonts w:ascii="Times New Roman" w:cs="Times New Roman" w:eastAsia="Times New Roman" w:hAnsi="Times New Roman"/>
          <w:sz w:val="18"/>
          <w:szCs w:val="18"/>
          <w:color w:val="auto"/>
        </w:rPr>
      </w:pPr>
    </w:p>
    <w:p>
      <w:pPr>
        <w:ind w:left="1620" w:right="59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Mr. Babler’s option award with a grant date of September 15, 2021, the exercise price of each of these options granted prior to March 29, 2024 was repriced to $8.84 per share in March 2024.</w:t>
      </w:r>
    </w:p>
    <w:p>
      <w:pPr>
        <w:spacing w:after="0" w:line="26" w:lineRule="exact"/>
        <w:rPr>
          <w:rFonts w:ascii="Times New Roman" w:cs="Times New Roman" w:eastAsia="Times New Roman" w:hAnsi="Times New Roman"/>
          <w:sz w:val="18"/>
          <w:szCs w:val="18"/>
          <w:color w:val="auto"/>
        </w:rPr>
      </w:pPr>
    </w:p>
    <w:p>
      <w:pPr>
        <w:ind w:left="1620" w:right="439" w:hanging="360"/>
        <w:spacing w:after="0" w:line="25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first anniversary of the September 15, 2021 vesting commencement date and 1/48th of the shares underlying the option vesting on a monthly basis thereafter, subject to continued service through each vesting date. This option is early exercisable and to the extent any of such shares are unvested as of a given date, any purchased shares will remain subject to a right of repurchase by us upon the termination of the service of the named executive officer. As of December 31, 2025, all shares have vested.</w:t>
      </w:r>
    </w:p>
    <w:p>
      <w:pPr>
        <w:spacing w:after="0" w:line="254"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first anniversary of the January 27, 2022 vesting commencement date and 1/48th of the shares underlying the option vesting on a monthly basis thereafter, subject to continued service through each vesting date. This option is early exercisable and to the extent any of such shares are unvested as of a given date, any purchased shares will remain subject to a right of repurchase by us upon the termination of the service of the named executive officer.</w:t>
      </w:r>
    </w:p>
    <w:p>
      <w:pPr>
        <w:spacing w:after="0" w:line="3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104,722 shares have vested.</w:t>
      </w:r>
    </w:p>
    <w:p>
      <w:pPr>
        <w:spacing w:after="0" w:line="76" w:lineRule="exact"/>
        <w:rPr>
          <w:rFonts w:ascii="Times New Roman" w:cs="Times New Roman" w:eastAsia="Times New Roman" w:hAnsi="Times New Roman"/>
          <w:sz w:val="18"/>
          <w:szCs w:val="18"/>
          <w:color w:val="auto"/>
        </w:rPr>
      </w:pPr>
    </w:p>
    <w:p>
      <w:pPr>
        <w:ind w:left="1620" w:right="499" w:hanging="360"/>
        <w:spacing w:after="0" w:line="25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six years with 1/3rd of the shares underlying the option vesting on the second anniversary of the January 27, 2022 vesting commencement date and 1/48th of the remaining shares underlying the option vesting on a monthly basis thereafter, subject to continued service through each vesting date. This option is early exercisable and to the extent any of such shares are unvested as of a given date, any purchased shares will remain subject to a right of repurchase by us upon the termination of the service of the named executive officer.</w:t>
      </w:r>
    </w:p>
    <w:p>
      <w:pPr>
        <w:spacing w:after="0" w:line="3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348,150 shares have vested.</w:t>
      </w:r>
    </w:p>
    <w:p>
      <w:pPr>
        <w:spacing w:after="0" w:line="76"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first anniversary of the May 22, 2023 vesting commencement date and 1/48th of the shares underlying the option vesting on a monthly basis thereafter, subject to continued service through each vesting date. This option is early exercisable and to the extent any of such shares are unvested as of a given date, any purchased shares will remain subject to a right of repurchase by us upon the termination of the service of the named executive officer.</w:t>
      </w:r>
    </w:p>
    <w:p>
      <w:pPr>
        <w:spacing w:after="0" w:line="5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169,919 shares have vested.</w:t>
      </w:r>
    </w:p>
    <w:p>
      <w:pPr>
        <w:spacing w:after="0" w:line="76"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first anniversary of the October 9, 2023 vesting commencement date and 1/48th of the shares underlying the option vesting on a monthly basis thereafter, subject to continued service through each vesting date. The option award includes an early exercise feature.</w:t>
      </w:r>
    </w:p>
    <w:p>
      <w:pPr>
        <w:spacing w:after="0" w:line="3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57,973 shares have vested.</w:t>
      </w:r>
    </w:p>
    <w:p>
      <w:pPr>
        <w:spacing w:after="0" w:line="90"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first anniversary of the March 29, 2024 vesting commencement date and 1/48th of the shares underlying the option vesting on a monthly basis thereafter, subject to continued service through each vesting date. This option is early exercisable and to the extent any of such shares are unvested as of a given date, any purchased shares will remain subject to a right of repurchase by us upon the termination of the service of the named executive officer.</w:t>
      </w:r>
    </w:p>
    <w:p>
      <w:pPr>
        <w:spacing w:after="0" w:line="3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105,529 shares have vested.</w:t>
      </w:r>
    </w:p>
    <w:p>
      <w:pPr>
        <w:spacing w:after="0" w:line="76" w:lineRule="exact"/>
        <w:rPr>
          <w:rFonts w:ascii="Times New Roman" w:cs="Times New Roman" w:eastAsia="Times New Roman" w:hAnsi="Times New Roman"/>
          <w:sz w:val="18"/>
          <w:szCs w:val="18"/>
          <w:color w:val="auto"/>
        </w:rPr>
      </w:pPr>
    </w:p>
    <w:p>
      <w:pPr>
        <w:ind w:left="1620" w:right="519" w:hanging="360"/>
        <w:spacing w:after="0" w:line="25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on the first date upon which both the performance-based condition (the “Performance Condition”) and the service-based condition (the “Service Condition”) are satisfied with respect to such shares. The Performance Condition shall be satisfied as to: (i) 1/3 of the shares underlying the option if, on a date prior to the date that is four years following the vesting commencement date, the volume-weighted average price per share of common stock on the Nasdaq Stock Market for a period of 30-consecutive trading days (the “Share Price”) equals or exceeds $46.75 (the “$46.75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45" w:lineRule="auto"/>
        <w:rPr>
          <w:sz w:val="20"/>
          <w:szCs w:val="20"/>
          <w:color w:val="auto"/>
        </w:rPr>
      </w:pPr>
      <w:r>
        <w:rPr>
          <w:rFonts w:ascii="Times New Roman" w:cs="Times New Roman" w:eastAsia="Times New Roman" w:hAnsi="Times New Roman"/>
          <w:sz w:val="18"/>
          <w:szCs w:val="18"/>
          <w:color w:val="auto"/>
        </w:rPr>
        <w:t>Shares”); (ii) 1/3 of shares underlying the option, plus the $46.75 Shares to the extent such shares have not yet satisfied the Performance Condition, if, on a date prior to the date that is five years following the vesting commencement date, the Share Price equals or exceeds $70.125 (the “$70.125 Shares”); and (iii) 1/3 of shares underlying the option, plus the $46.75 Shares and $70.125 Shares, to the extent such shares have not yet satisfied the Performance Condition, if, on a date prior to the date that is</w:t>
      </w:r>
    </w:p>
    <w:p>
      <w:pPr>
        <w:spacing w:after="0" w:line="3" w:lineRule="exact"/>
        <w:rPr>
          <w:sz w:val="20"/>
          <w:szCs w:val="20"/>
          <w:color w:val="auto"/>
        </w:rPr>
      </w:pPr>
    </w:p>
    <w:p>
      <w:pPr>
        <w:ind w:left="1620" w:right="499"/>
        <w:spacing w:after="0" w:line="241" w:lineRule="auto"/>
        <w:rPr>
          <w:sz w:val="20"/>
          <w:szCs w:val="20"/>
          <w:color w:val="auto"/>
        </w:rPr>
      </w:pPr>
      <w:r>
        <w:rPr>
          <w:rFonts w:ascii="Times New Roman" w:cs="Times New Roman" w:eastAsia="Times New Roman" w:hAnsi="Times New Roman"/>
          <w:sz w:val="18"/>
          <w:szCs w:val="18"/>
          <w:color w:val="auto"/>
        </w:rPr>
        <w:t>six years following the vesting commencement date, the Share Price equals or exceeds $93.50 (the “$93.50 Shares”) (each of (i), (ii) and (iii), a “Performance Target”). The Service Condition will be satisfied as to 1/36th of each of the $46.75 Shares, the $70.125 Shares, and the $93.50 Shares on a monthly basis following the vesting commencement date, in each case subject to the optionholder’s continued service through each such date. The option award includes an early exercise feature and is subject to certain post-termination and acceleration benefits as described below in the subsection titled “— Potential Payments and Benefits upon Termination or Change in Control — POP Options.”</w:t>
      </w:r>
    </w:p>
    <w:p>
      <w:pPr>
        <w:spacing w:after="0" w:line="37" w:lineRule="exact"/>
        <w:rPr>
          <w:sz w:val="20"/>
          <w:szCs w:val="20"/>
          <w:color w:val="auto"/>
        </w:rPr>
      </w:pPr>
    </w:p>
    <w:p>
      <w:pPr>
        <w:ind w:left="1620" w:right="459" w:hanging="360"/>
        <w:spacing w:after="0" w:line="25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first anniversary of the June 6, 2024 vesting commencement date and 1/48th of the shares underlying the option vesting on a monthly basis thereafter, subject to continued service through each vesting date. This option is early exercisable and to the extent any of such shares are unvested as of a given date, any purchased shares will remain subject to a right of repurchase by us upon the termination of the service of the named executive officer.</w:t>
      </w:r>
    </w:p>
    <w:p>
      <w:pPr>
        <w:spacing w:after="0" w:line="3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92,247 shares have vested.</w:t>
      </w:r>
    </w:p>
    <w:p>
      <w:pPr>
        <w:spacing w:after="0" w:line="76"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first anniversary of the June 21, 2024 vesting commencement date and 1/48th of the shares underlying the option vesting on a monthly basis thereafter, subject to continued service through each vesting date.</w:t>
      </w:r>
    </w:p>
    <w:p>
      <w:pPr>
        <w:spacing w:after="0" w:line="44"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first anniversary of the February 18, 2025 vesting commencement date and 1/48th of the shares underlying the option vesting on a monthly basis thereafter, subject to continued service through each vesting date.</w:t>
      </w:r>
    </w:p>
    <w:p>
      <w:pPr>
        <w:spacing w:after="0" w:line="31"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first anniversary of the July 29, 2025 vesting commencement date and 1/48th of the shares underlying the option vesting on a monthly basis thereafter, subject to continued service through each vesting date.</w:t>
      </w:r>
    </w:p>
    <w:p>
      <w:pPr>
        <w:spacing w:after="0" w:line="3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111,407 shares have vested.</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41,888 shares have vested.</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6,675 shares have vested.</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16,597 shares have vested.</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20,053 shares have vested.</w:t>
      </w:r>
    </w:p>
    <w:p>
      <w:pPr>
        <w:spacing w:after="0" w:line="76" w:lineRule="exact"/>
        <w:rPr>
          <w:rFonts w:ascii="Times New Roman" w:cs="Times New Roman" w:eastAsia="Times New Roman" w:hAnsi="Times New Roman"/>
          <w:sz w:val="18"/>
          <w:szCs w:val="18"/>
          <w:color w:val="auto"/>
        </w:rPr>
      </w:pPr>
    </w:p>
    <w:p>
      <w:pPr>
        <w:jc w:val="both"/>
        <w:ind w:left="1620" w:right="75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 vests over a period of four years with 25% of the shares underlying the RSU vesting on August 1, 2026 and 1/16th of the shares underlying the RSU vesting on a quarterly basis thereafter, subject to continued service through each vesting date.</w:t>
      </w:r>
    </w:p>
    <w:p>
      <w:pPr>
        <w:spacing w:after="0" w:line="27"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calculated by multiplying the number of shares shown in the table by $9.76, the closing market price of our common stock on Nasdaq as of December 31, 2025, the last trading day of our fiscal year.</w:t>
      </w:r>
    </w:p>
    <w:p>
      <w:pPr>
        <w:spacing w:after="0" w:line="13"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four years with 25% of the shares underlying the option vesting on the first anniversary of the August 22, 2022 vesting commencement date and 1/48th of the shares underlying the option vesting on a monthly basis thereafter, subject to continued service through each vesting date. This option is early exercisable and to the extent any of such shares are unvested as of a given date, any purchased shares will remain subject to a right of repurchase by us upon the termination of the service of the named executive officer.</w:t>
      </w:r>
    </w:p>
    <w:p>
      <w:pPr>
        <w:spacing w:after="0" w:line="5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142,601 shares have vested.</w:t>
      </w:r>
    </w:p>
    <w:p>
      <w:pPr>
        <w:spacing w:after="0" w:line="76"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vests over a period of six years with 1/3rd of the shares underlying the option vesting on the second anniversary of the August 22, 2022 vesting commencement date and 1/48th of</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99"/>
        <w:spacing w:after="0" w:line="250" w:lineRule="auto"/>
        <w:rPr>
          <w:sz w:val="20"/>
          <w:szCs w:val="20"/>
          <w:color w:val="auto"/>
        </w:rPr>
      </w:pPr>
      <w:r>
        <w:rPr>
          <w:rFonts w:ascii="Times New Roman" w:cs="Times New Roman" w:eastAsia="Times New Roman" w:hAnsi="Times New Roman"/>
          <w:sz w:val="18"/>
          <w:szCs w:val="18"/>
          <w:color w:val="auto"/>
        </w:rPr>
        <w:t>the remaining shares underlying the option vesting on a monthly basis thereafter, subject to continued service through each vesting date. This option is early exercisable and to the extent any of such shares are unvested as of a given date, any purchased shares will remain subject to a right of repurchase by us upon the termination of the service of the named executive officer.</w:t>
      </w:r>
    </w:p>
    <w:p>
      <w:pPr>
        <w:spacing w:after="0" w:line="29" w:lineRule="exact"/>
        <w:rPr>
          <w:sz w:val="20"/>
          <w:szCs w:val="20"/>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47,343 shares have vested.</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8,288 shares have vested.</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10,103 shares have vested.</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23,863 shares have vested.</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24,064 shares have vested.</w:t>
      </w:r>
    </w:p>
    <w:p>
      <w:pPr>
        <w:spacing w:after="0" w:line="144"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Awards held by our named executive officers may be eligible for accelerated vesting under specified circumstances, as described in more detail below under the subsection titled “— Potential Payments and Benefits upon Termination or Change in Control.”</w:t>
      </w:r>
    </w:p>
    <w:p>
      <w:pPr>
        <w:spacing w:after="0" w:line="10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equity plans.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Below are descriptions of our offer letters with our named executive officers. For a discussion of the severance pay and other benefits to be provided in connection with a termination of employment and/or a change in control under the arrangements with our named executive officers, please see the subsection titled “— Potential Payments and Benefits upon Termination or Change in Control.” Each of our named executive officers is employed at will.</w:t>
      </w:r>
    </w:p>
    <w:p>
      <w:pPr>
        <w:spacing w:after="0" w:line="10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Mr. Babler </w:t>
      </w:r>
      <w:r>
        <w:rPr>
          <w:rFonts w:ascii="Times New Roman" w:cs="Times New Roman" w:eastAsia="Times New Roman" w:hAnsi="Times New Roman"/>
          <w:sz w:val="18"/>
          <w:szCs w:val="18"/>
          <w:color w:val="auto"/>
        </w:rPr>
        <w:t>. In September 2021, we and Mr. Babler entered into an offer letter that governs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Mr. Babler’s employment with us. Pursuant to the agreement, Mr. Babler’s employment is at will.</w:t>
      </w:r>
    </w:p>
    <w:p>
      <w:pPr>
        <w:spacing w:after="0" w:line="1" w:lineRule="exact"/>
        <w:rPr>
          <w:sz w:val="20"/>
          <w:szCs w:val="20"/>
          <w:color w:val="auto"/>
        </w:rPr>
      </w:pPr>
    </w:p>
    <w:p>
      <w:pPr>
        <w:ind w:left="1260" w:right="639"/>
        <w:spacing w:after="0" w:line="258" w:lineRule="auto"/>
        <w:rPr>
          <w:sz w:val="20"/>
          <w:szCs w:val="20"/>
          <w:color w:val="auto"/>
        </w:rPr>
      </w:pPr>
      <w:r>
        <w:rPr>
          <w:rFonts w:ascii="Times New Roman" w:cs="Times New Roman" w:eastAsia="Times New Roman" w:hAnsi="Times New Roman"/>
          <w:sz w:val="18"/>
          <w:szCs w:val="18"/>
          <w:color w:val="auto"/>
        </w:rPr>
        <w:t>Mr. Babler is also entitled to certain severance benefits, the terms of which are described below under the subsection titled “— Potential Payments and Benefits upon Termination or Change in Control.”</w:t>
      </w:r>
    </w:p>
    <w:p>
      <w:pPr>
        <w:spacing w:after="0" w:line="100"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Dr. Goldstein</w:t>
      </w:r>
      <w:r>
        <w:rPr>
          <w:rFonts w:ascii="Times New Roman" w:cs="Times New Roman" w:eastAsia="Times New Roman" w:hAnsi="Times New Roman"/>
          <w:sz w:val="18"/>
          <w:szCs w:val="18"/>
          <w:color w:val="auto"/>
        </w:rPr>
        <w:t>. In September 2021, we and Dr. Goldstein entered into an offer letter that governs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Dr. Goldstein’s employment with us. Pursuant to the agreement, Dr. Goldstein’s employment is at will. Dr. Goldstein is also entitled to certain severance benefits, the terms of which are described below under the subsection titled “— Potential Payments and Benefits upon Termination or Change in Control.”</w:t>
      </w:r>
    </w:p>
    <w:p>
      <w:pPr>
        <w:spacing w:after="0" w:line="110"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Dr. Drappa</w:t>
      </w:r>
      <w:r>
        <w:rPr>
          <w:rFonts w:ascii="Times New Roman" w:cs="Times New Roman" w:eastAsia="Times New Roman" w:hAnsi="Times New Roman"/>
          <w:sz w:val="18"/>
          <w:szCs w:val="18"/>
          <w:color w:val="auto"/>
        </w:rPr>
        <w:t>. In June 2024, we and Dr. Drappa entered into an offer letter that governs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Drappa’s employment with us. Pursuant to the agreement, Dr. Drappa’s employment is at will.</w:t>
      </w:r>
    </w:p>
    <w:p>
      <w:pPr>
        <w:spacing w:after="0" w:line="1" w:lineRule="exact"/>
        <w:rPr>
          <w:sz w:val="20"/>
          <w:szCs w:val="20"/>
          <w:color w:val="auto"/>
        </w:rPr>
      </w:pPr>
    </w:p>
    <w:p>
      <w:pPr>
        <w:ind w:left="1260" w:right="619"/>
        <w:spacing w:after="0" w:line="243" w:lineRule="auto"/>
        <w:rPr>
          <w:sz w:val="20"/>
          <w:szCs w:val="20"/>
          <w:color w:val="auto"/>
        </w:rPr>
      </w:pPr>
      <w:r>
        <w:rPr>
          <w:rFonts w:ascii="Times New Roman" w:cs="Times New Roman" w:eastAsia="Times New Roman" w:hAnsi="Times New Roman"/>
          <w:sz w:val="18"/>
          <w:szCs w:val="18"/>
          <w:color w:val="auto"/>
        </w:rPr>
        <w:t>Dr. Drappa is also entitled to certain severance benefits, the terms of which are described below under the subsection titled “— Potential Payments and Benefits upon Termination or Change in Control.”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Termination or Change in Control</w:t>
      </w:r>
    </w:p>
    <w:p>
      <w:pPr>
        <w:spacing w:after="0" w:line="148"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Regardless of the manner in which a named executive officer’s service terminates, each named executive officer is entitled to receive unpaid salary earned during his term of service.</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Severance and Change in Control Plan</w:t>
      </w:r>
    </w:p>
    <w:p>
      <w:pPr>
        <w:spacing w:after="0" w:line="160"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In February 2025, our Compensation Committee adopted our Severance and Change in Control Plan (the “Severance Plan”). The Severance Plan provides for the payment of severance and/or benefits to participants upon a qualifying termination of employment (“Covered Termination”), consisting of either</w:t>
      </w:r>
    </w:p>
    <w:p>
      <w:pPr>
        <w:ind w:left="1260" w:right="579"/>
        <w:spacing w:after="0"/>
        <w:tabs>
          <w:tab w:leader="none" w:pos="15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 participant by us without cause (as defined in the Severance Plan) and other than as a result of the participant’s death or disability or (b) the participant’s resignation for good reason (as defined in the Severance Plan).</w:t>
      </w:r>
    </w:p>
    <w:p>
      <w:pPr>
        <w:spacing w:after="0" w:line="117" w:lineRule="exact"/>
        <w:rPr>
          <w:sz w:val="20"/>
          <w:szCs w:val="20"/>
          <w:color w:val="auto"/>
        </w:rPr>
      </w:pPr>
    </w:p>
    <w:p>
      <w:pPr>
        <w:ind w:left="1260" w:right="619" w:firstLine="360"/>
        <w:spacing w:after="0" w:line="264" w:lineRule="auto"/>
        <w:rPr>
          <w:sz w:val="20"/>
          <w:szCs w:val="20"/>
          <w:color w:val="auto"/>
        </w:rPr>
      </w:pPr>
      <w:r>
        <w:rPr>
          <w:rFonts w:ascii="Times New Roman" w:cs="Times New Roman" w:eastAsia="Times New Roman" w:hAnsi="Times New Roman"/>
          <w:sz w:val="18"/>
          <w:szCs w:val="18"/>
          <w:color w:val="auto"/>
        </w:rPr>
        <w:t>If a named executive officer experiences a Covered Termination within 12 months following completion of a change in control (as defined in the Severance Plan) (such period, the “Change in Control Period”),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4" w:lineRule="auto"/>
        <w:rPr>
          <w:sz w:val="20"/>
          <w:szCs w:val="20"/>
          <w:color w:val="auto"/>
        </w:rPr>
      </w:pPr>
      <w:r>
        <w:rPr>
          <w:rFonts w:ascii="Times New Roman" w:cs="Times New Roman" w:eastAsia="Times New Roman" w:hAnsi="Times New Roman"/>
          <w:sz w:val="18"/>
          <w:szCs w:val="18"/>
          <w:color w:val="auto"/>
        </w:rPr>
        <w:t>named executive officer shall be eligible to receive the following benefits: (a) a lump sum cash payment equal to 12 months (or in Mr. Babler’s case, 18 months) of base salary (as defined in the Severance Plan);</w:t>
      </w:r>
    </w:p>
    <w:p>
      <w:pPr>
        <w:ind w:left="1260" w:right="439"/>
        <w:spacing w:after="0" w:line="241" w:lineRule="auto"/>
        <w:tabs>
          <w:tab w:leader="none" w:pos="15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1.00x (or in Mr. Babler’s case, 1.50x) the named executive officer’s target bonus (as defined in the Severance Plan) for the calendar year in which the named executive officer’s Covered Termination occurs; (c) COBRA premium payments paid by us for the named executive officer and the named executive officer’s eligible dependents for a period not exceeding the earliest of (1) 12 months (or in Mr. Babler’s case, 18 months) following the date of the named executive officer’s Covered Termination, (2) expiration of the named executive officer’s eligibility for continuation coverage under COBRA, or (3) the date when the named executive officer becomes eligible for a substantially equivalent health insurance coverage in connection with new employment; and (d) full acceleration of any outstanding, unvested equity awards held by the named executive officer.</w:t>
      </w:r>
    </w:p>
    <w:p>
      <w:pPr>
        <w:spacing w:after="0" w:line="12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If a named executive officer experiences a Covered Termination outside of the Change in Control Period, such named executive officer will be eligible to receive (a) cash payments in an amount equal to nine months (or in Mr. Babler’s case, 12 months) of base salary, to be paid in accordance with our regular payroll practices over the length of such period; (b) a pro-rated amount of the named executive officer’s target bonus based upon the number of days worked in the calendar year in which such named executive officer’s Covered Termination occurs, payable in a lump sum no later than the date that all of our other executives would regularly receive the bonus payment; and (c) COBRA premiums paid by us for the named executive officer and named executive officer’s eligible dependents for a period not exceeding nine months (or in Mr. Babler’s case, 12 months).</w:t>
      </w:r>
    </w:p>
    <w:p>
      <w:pPr>
        <w:spacing w:after="0" w:line="328"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as described below, our named executive officers are eligible to receive (a) acceleration of certain outstanding, unvested equity awards granted before the adoption of the Severance Plan pursuant to their offer letters and (b) acceleration of their POP Options (as defined below).</w:t>
      </w:r>
    </w:p>
    <w:p>
      <w:pPr>
        <w:spacing w:after="0" w:line="10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Each named executive officer’s right to receive the payments and benefits provided under the Severance Plan are subject to such named executive officer’s execution, delivery and non-revocation of a separation agreement containing, among other provisions, a general release of all claims in favor of us, our subsidiaries and our affiliates.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Offer Letters with Named Executive Officers</w:t>
      </w:r>
    </w:p>
    <w:p>
      <w:pPr>
        <w:spacing w:after="0" w:line="160"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color w:val="auto"/>
        </w:rPr>
        <w:t>Pursuant to each named executive officer’s offer letter, if (a) his employment is terminated without cause (as defined in the offer letter) or (b) in the event of his constructive termination (as defined in the offer letter), then the named executive officer will be entitled to receive acceleration of his then-unvested equity awards that were granted before the adoption of the Severance Plan as to the number of shares underlying such awards that would have been vested as of the first anniversary of the date of his termination, with such acceleration to be effective immediately prior to his termination. These severance benefits are conditioned upon the named executive officer’s delivery of a general release of claims in our favor.</w:t>
      </w:r>
    </w:p>
    <w:p>
      <w:pPr>
        <w:spacing w:after="0" w:line="32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Upon a change of control (as defined in the offer letter) other than an excluded change of control (as defined in the offer letter), 50% of the then-unvested portions of the equity awards that were granted to the named executive officer before the adoption of the Severance Plan will accelerate.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POP Options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Certain benefits apply to the options granted on May 6, 2024, to each of Mr. Babler, Dr. Goldstein and Dr. Drappa, (the “POP Options”) under our 2024 POP. If the officer voluntarily resigns, the POP Options that have satisfied the service condition at the time of termination will remain outstanding and be eligible to vest for one year post-termination if the performance condition(s) with respect to such options are satisfied during the one year post-termination period. If the officer is terminated without cause or by constructive termination (as defined in the 2024 POP), the POP Options that have satisfied the service condition at the time of termination will remain outstanding and be eligible to vest for two years post-termination if the performance condition(s) with respect to such shares are satisfied during the two years post-termination period.</w:t>
      </w:r>
    </w:p>
    <w:p>
      <w:pPr>
        <w:spacing w:after="0" w:line="32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Upon a change in control (as defined in the 2024 POP), with respect to any portion of the performance condition(s) not yet satisfied, if the value of the property expected to be received by our stockholders as a</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result of such change in control equals or exceeds the applicable share price performance target, a number of shares subject to the POP Options will satisfy the performance condition with respect to such share price performance target as of immediately prior to the change in control.</w:t>
      </w:r>
    </w:p>
    <w:p>
      <w:pPr>
        <w:spacing w:after="0" w:line="10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Additionally, the service condition will be satisfied with respect to 100% of the POP Options immediately prior to a change in control if the officer (i) remains in continuous service through the change in control or (ii) is terminated without cause or by constructive termination prior to a change in control and the change in control occurs within one year following such termination. If the officer is terminated without cause or by constructive termination outside of a change in control, the service-based vesting condition will be satisfied as to an additional 1/3 of shares subject to each of the share price performance targets (see the subsection titled “— Outstanding Equity Awards at Fiscal Year End”).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62"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the year ended December 31, 2025.</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earn any benefits under, a non-qualified deferred compensation plan sponsored by us during the year ended December 31, 2025.</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and Benefits</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 each case on the same basis as all of our other employees. These employee benefit plans include medical, dental, vision, disability, employee assistance, life, accidental death and dismemberment insurance plans. We pay the premiums for the medical, dental, vision, life and accidental death and dismemberment insurance for all of our employees, including our named executive officers. We generally do not provide perquisites or personal benefits to our named executive officers. In addition, we provide the opportunity to participate in a 401(k) plan to our employees, including each of our named executive officers, as discussed in the subsection titled “— 401(k) Plan” below.</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defined contribution retirement plan that provides eligible employees with an opportunity to save for retirement on a tax advantaged basis. Eligible employees may elect to defer up to 15% of their eligible compensation into the plan on a pretax or after tax basis, up to annual limits prescribed by the Internal Revenue Code of 1986, as amended. Our Board approved a Company match on 100% of each participant’s employee deferral contributions up to 3% of eligible compensation and a 50% match on each participant’s employee deferral contributions from 3% to 5% of eligible compensation, effective from January 1, 2026.</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62"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In June 2024, the Board adopted a compensation recovery policy in accordance with the Dodd-Frank Wall Street Reform and Consumer Protection Act and applicable Nasdaq and SEC rules, a copy of which was filed as Exhibit 97.1 to our 2024 Annual Report on Form 10-K.</w:t>
      </w:r>
    </w:p>
    <w:p>
      <w:pPr>
        <w:spacing w:after="0" w:line="172"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7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From time to time, we grant stock options to our employees, including our named executive officers. Historically, we have granted new-hire option awards monthly after a new hire’s employment start date and annual refresh employee option grants in the first quarter of each fiscal year, which refresh grants are typically approved by either the Equity Grant Committee described below (except for grants to certain senior employees, including our executive officers) or the Compensation Committee in its regularly scheduled meeting occurring in such quarter. Also, non-employee directors receive automatic grants of initial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annual stock option awards, at the time of a director’s initial appointment or election to the Board, at the time of each annual meeting of our stockholders, and on specifically designated dates for any director who elects to receive some or all of their eligible cash compensation in the form of stock options, pursuant to the Non-Employee Director Compensation Policy, as further described under the heading, “Non-Employee Director Compensation — Non-Employee Director Compensation Policy” below. Other than the delegation by the Board to an Equity Grant Committee of the approval of the issuance of certain equity-based awards to employees and consultants under the 2024 EIP, which awards are typically granted on a monthly basis on the tenth of each month, we do not otherwise maintain any written policies on the timing of awards of stock options, stock appreciation rights, or similar instruments with option-like features. The Compensation Committee considers whether there is any material nonpublic information (“MNPI”) about us when determining the timing of stock option grants and does not seek to time the award of stock options in relation to our public disclosure of MNPI. We have not timed the release of MNPI for the purpose of affecting the value of executive compensation.</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48"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compensation awarded to or earned by or paid to all individuals who served as non-employee directors during the year ended December 31, 2025. Dr. Colowick and</w:t>
      </w:r>
    </w:p>
    <w:p>
      <w:pPr>
        <w:ind w:left="1260" w:right="599"/>
        <w:spacing w:after="0"/>
        <w:rPr>
          <w:sz w:val="20"/>
          <w:szCs w:val="20"/>
          <w:color w:val="auto"/>
        </w:rPr>
      </w:pPr>
      <w:r>
        <w:rPr>
          <w:rFonts w:ascii="Times New Roman" w:cs="Times New Roman" w:eastAsia="Times New Roman" w:hAnsi="Times New Roman"/>
          <w:sz w:val="18"/>
          <w:szCs w:val="18"/>
          <w:color w:val="auto"/>
        </w:rPr>
        <w:t>Dr. Tananbaum voluntarily waived all compensation for their service as a director during the year ended December 31, 2025. Mr. Babler, our President and Chief Executive Officer, is also a member of our Board but did not receive any additional compensation for his service as a director. The compensation of</w:t>
      </w:r>
    </w:p>
    <w:p>
      <w:pPr>
        <w:ind w:left="1260"/>
        <w:spacing w:after="0"/>
        <w:rPr>
          <w:sz w:val="20"/>
          <w:szCs w:val="20"/>
          <w:color w:val="auto"/>
        </w:rPr>
      </w:pPr>
      <w:r>
        <w:rPr>
          <w:rFonts w:ascii="Times New Roman" w:cs="Times New Roman" w:eastAsia="Times New Roman" w:hAnsi="Times New Roman"/>
          <w:sz w:val="18"/>
          <w:szCs w:val="18"/>
          <w:color w:val="auto"/>
        </w:rPr>
        <w:t>Mr. Babler is set forth in the subsection titled “— Summary Compensation Table” above.</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27"/>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Paid in Cash ($)</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Awards</w:t>
            </w:r>
            <w:r>
              <w:rPr>
                <w:rFonts w:ascii="Times New Roman" w:cs="Times New Roman" w:eastAsia="Times New Roman" w:hAnsi="Times New Roman"/>
                <w:sz w:val="17"/>
                <w:szCs w:val="17"/>
                <w:b w:val="1"/>
                <w:bCs w:val="1"/>
                <w:color w:val="auto"/>
                <w:w w:val="93"/>
                <w:vertAlign w:val="superscript"/>
              </w:rPr>
              <w:t>(1)</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Srinivas Akkaraju, Ph.D.</w:t>
            </w:r>
          </w:p>
        </w:tc>
        <w:tc>
          <w:tcPr>
            <w:tcW w:w="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​52,651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​161,307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​213,958</w:t>
            </w:r>
          </w:p>
        </w:tc>
      </w:tr>
      <w:tr>
        <w:trPr>
          <w:trHeight w:val="25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B. Colowick, M.D., M.P.H.</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Machado, J.D.</w:t>
            </w:r>
          </w:p>
        </w:tc>
        <w:tc>
          <w:tcPr>
            <w:tcW w:w="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​161,307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​226,307</w:t>
            </w:r>
          </w:p>
        </w:tc>
      </w:tr>
      <w:tr>
        <w:trPr>
          <w:trHeight w:val="25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Sapna Srivastava, Ph.D.</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​64,423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​161,307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​225,730</w:t>
            </w:r>
          </w:p>
        </w:tc>
      </w:tr>
      <w:tr>
        <w:trPr>
          <w:trHeight w:val="257"/>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 Tananbaum, M.D.</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 Tetrault, J.D.</w:t>
            </w:r>
            <w:r>
              <w:rPr>
                <w:rFonts w:ascii="Times New Roman" w:cs="Times New Roman" w:eastAsia="Times New Roman" w:hAnsi="Times New Roman"/>
                <w:sz w:val="23"/>
                <w:szCs w:val="23"/>
                <w:color w:val="auto"/>
                <w:vertAlign w:val="superscript"/>
              </w:rPr>
              <w:t>(2)</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​28,832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​161,307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​190,139</w:t>
            </w:r>
          </w:p>
        </w:tc>
      </w:tr>
      <w:tr>
        <w:trPr>
          <w:trHeight w:val="270"/>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Zhengbin (Bing) Yao, Ph.D.</w:t>
            </w:r>
          </w:p>
        </w:tc>
        <w:tc>
          <w:tcPr>
            <w:tcW w:w="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​51,360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​161,307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-1174115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-1174115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-1174115</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419" w:hanging="360"/>
        <w:spacing w:after="0" w:line="255"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aggregate grant date fair value of the stock options granted to the non-employee director during the year ended December 31, 2025, computed in accordance with FASB ASC 718, and do not reflect dollar amounts actually received by the non-employee director or the economic value that may be received by the non-employee director upon stock option exercise or any sale of the underlying shares of common stock. The assumptions used in calculating the grant date fair value of the option awards reported in this column are set forth in Note 12 to our consolidated financial statements included in Part II, Item 8 of our 2025 Annual Report on Form 10-K.</w:t>
      </w:r>
    </w:p>
    <w:p>
      <w:pPr>
        <w:spacing w:after="0" w:line="25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Tetrault commenced service on our Board on May 23, 2025.</w:t>
      </w:r>
    </w:p>
    <w:p>
      <w:pPr>
        <w:spacing w:after="0" w:line="158"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table below presents the aggregate number of shares subject to outstanding stock options, as of December 31, 2025, beneficially owned by each of our non-employee directors for the year ended December 31, 2025.</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4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Underlying Outstanding</w:t>
            </w:r>
          </w:p>
        </w:tc>
        <w:tc>
          <w:tcPr>
            <w:tcW w:w="4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 as of</w:t>
            </w:r>
          </w:p>
        </w:tc>
        <w:tc>
          <w:tcPr>
            <w:tcW w:w="40" w:type="dxa"/>
            <w:vAlign w:val="bottom"/>
          </w:tcPr>
          <w:p>
            <w:pPr>
              <w:spacing w:after="0"/>
              <w:rPr>
                <w:sz w:val="14"/>
                <w:szCs w:val="14"/>
                <w:color w:val="auto"/>
              </w:rPr>
            </w:pPr>
          </w:p>
        </w:tc>
      </w:tr>
      <w:tr>
        <w:trPr>
          <w:trHeight w:val="190"/>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40" w:type="dxa"/>
            <w:vAlign w:val="bottom"/>
          </w:tcPr>
          <w:p>
            <w:pPr>
              <w:spacing w:after="0"/>
              <w:rPr>
                <w:sz w:val="16"/>
                <w:szCs w:val="16"/>
                <w:color w:val="auto"/>
              </w:rPr>
            </w:pPr>
          </w:p>
        </w:tc>
      </w:tr>
      <w:tr>
        <w:trPr>
          <w:trHeight w:val="24"/>
        </w:trPr>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3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Srinivas Akkaraju, Ph.D.</w:t>
            </w:r>
          </w:p>
        </w:tc>
        <w:tc>
          <w:tcPr>
            <w:tcW w:w="1460" w:type="dxa"/>
            <w:vAlign w:val="bottom"/>
            <w:tcBorders>
              <w:right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49,800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B. Colowick, M.D., M.P.H.</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Machado, J.D.</w:t>
            </w:r>
          </w:p>
        </w:tc>
        <w:tc>
          <w:tcPr>
            <w:tcW w:w="1460" w:type="dxa"/>
            <w:vAlign w:val="bottom"/>
            <w:tcBorders>
              <w:right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​218,184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Sapna Srivastava, Ph.D.</w:t>
            </w:r>
          </w:p>
        </w:tc>
        <w:tc>
          <w:tcPr>
            <w:tcW w:w="14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​108,623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-668020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4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Underlying Outstanding</w:t>
            </w:r>
          </w:p>
        </w:tc>
        <w:tc>
          <w:tcPr>
            <w:tcW w:w="4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 as of</w:t>
            </w:r>
          </w:p>
        </w:tc>
        <w:tc>
          <w:tcPr>
            <w:tcW w:w="40" w:type="dxa"/>
            <w:vAlign w:val="bottom"/>
          </w:tcPr>
          <w:p>
            <w:pPr>
              <w:spacing w:after="0"/>
              <w:rPr>
                <w:sz w:val="14"/>
                <w:szCs w:val="14"/>
                <w:color w:val="auto"/>
              </w:rPr>
            </w:pPr>
          </w:p>
        </w:tc>
      </w:tr>
      <w:tr>
        <w:trPr>
          <w:trHeight w:val="190"/>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40" w:type="dxa"/>
            <w:vAlign w:val="bottom"/>
          </w:tcPr>
          <w:p>
            <w:pPr>
              <w:spacing w:after="0"/>
              <w:rPr>
                <w:sz w:val="16"/>
                <w:szCs w:val="16"/>
                <w:color w:val="auto"/>
              </w:rPr>
            </w:pPr>
          </w:p>
        </w:tc>
      </w:tr>
      <w:tr>
        <w:trPr>
          <w:trHeight w:val="23"/>
        </w:trPr>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 Tananbaum, M.D.</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 Tetrault, J.D.</w:t>
            </w:r>
            <w:r>
              <w:rPr>
                <w:rFonts w:ascii="Times New Roman" w:cs="Times New Roman" w:eastAsia="Times New Roman" w:hAnsi="Times New Roman"/>
                <w:sz w:val="23"/>
                <w:szCs w:val="23"/>
                <w:color w:val="auto"/>
                <w:vertAlign w:val="superscript"/>
              </w:rPr>
              <w:t>(1)</w:t>
            </w:r>
          </w:p>
        </w:tc>
        <w:tc>
          <w:tcPr>
            <w:tcW w:w="14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​114,131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Zhengbin (Bing) Yao, Ph.D.</w:t>
            </w:r>
          </w:p>
        </w:tc>
        <w:tc>
          <w:tcPr>
            <w:tcW w:w="1460" w:type="dxa"/>
            <w:vAlign w:val="bottom"/>
            <w:tcBorders>
              <w:right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85,094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-513715</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Ms. Tetrault commenced service on our Board on May 23,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In February 2025, our Board adopted an amended and restated non-employee director compensation policy applicable to all of our non-employee directors. In July 2025, the Board amended and restated this policy. The amended and restated policy provides that each such non-employee director will receive the following compensation for service on our Board:</w:t>
      </w:r>
    </w:p>
    <w:p>
      <w:pPr>
        <w:spacing w:after="0" w:line="72" w:lineRule="exact"/>
        <w:rPr>
          <w:sz w:val="20"/>
          <w:szCs w:val="20"/>
          <w:color w:val="auto"/>
        </w:rPr>
      </w:pPr>
    </w:p>
    <w:p>
      <w:pPr>
        <w:ind w:left="1800" w:right="77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 (plus an additional $30,000 for the non-executive chair of our Board and $25,000 for the non-executive lead independent director of our Board);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$10,000, $7,500, $5,000 and $5,000 for service as a member of the Audit Committee, Compensation Committee, the Nominating and Corporate Governance Committee and Science and Technology Committee, respectively;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$20,000, $15,000, $10,000 and $10,000 for service as chair (in lieu of the additional annual cash retainer or services as a member) of the Audit Committee, Compensation Committee, the Nominating and Corporate Governance Committee, and the Science and Technology Committee, respectively;</w:t>
      </w:r>
    </w:p>
    <w:p>
      <w:pPr>
        <w:spacing w:after="0" w:line="71"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option grant to purchase 99,600 shares of our common stock on the date of each such non-employee director’s appointment to our Board; and</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option grant to purchase 49,800 shares of our common stock on the date of each of our annual stockholder meetings.</w:t>
      </w:r>
    </w:p>
    <w:p>
      <w:pPr>
        <w:spacing w:after="0" w:line="8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Each of the option grants described above under the non-employee director compensation policy will be granted under our 2024 EIP. Each initial option grant will vest over a three-year period, with 1/36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vesting in equal monthly installments following the date of grant, such that the option is fully vested on the third anniversary of the date of grant, subject to the director’s continuous service to us through each such vesting date. The initial grant will vest in full upon a Change in Control (as defined in the 2024 EIP), subject to the director’s continuous service to us through such date. Each annual option grant will vest and become exercisable subject to the director’s continuous service to us through the earlier of the first anniversary of the date of grant or the next annual stockholder meeting. The annual grant will also vest in full upon a Change in Control (as defined in the 2024 EIP), subject to the director’s continuous service to us through such date. The term of each option will be 10 years, subject to earlier termination as provided in the 2024 EIP.</w:t>
      </w:r>
    </w:p>
    <w:p>
      <w:pPr>
        <w:spacing w:after="0" w:line="34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We have reimbursed and will continue to reimburse all of our non-employee directors for their reasonable out-of-pocket expenses incurred in attending board of directors and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Related Party Transactions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and any currently proposed transactions to which we have been or are to be a party in which the amount involved exceeded or will exceed the lesser of $120,000 and 1% of our total assets,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the section titled “Executive and Director Compensation.” We also describe below certain other transactions with our directors, executive officers and stockholders.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2026 Public Offering</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January 7, 2026, we entered into the Underwriting Agreement with Morgan Stanley &amp; Co. LLC, Leerink Partners LLC and Cantor Fitzgerald &amp; Co., as representatives of the several underwriters named therein (collectively, the “Underwriters”), relating to the issuance and sale in a public offering of 17,650,000 shares of the Company’s voting common stock at a price of $17.00 per share. Certain entities affiliated with Foresite Capital Management and Samsara BioCapital, LP participated in the public offering on the same terms and conditions as all other purchasers, purchasing 411,764 and 588,235 shares, for a purchase price of $6,999,988 and $9,999,995, respectively. James B. Tananbaum, M.D., a member of the Board, is President, Chief Executive Officer and a director of Foresite Capital Management. Srinivas Akkaraju, M.D., Ph.D., a member of the Board, is the managing member of Samsara BioCapital, LP.</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and Support Agreements</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Concurrently with the execution of the Merger Agreement on February 6, 2025, certain entities affiliated with Foresite Capital Management, certain entities affiliated with AyurMaya Capital Management Fund, LP, Samsara BioCapital, LP, and Martin Babler, who collectively held approximately 62% of the outstanding capital stock as of such date, entered into voting and support agreements, providing among other things, that such stockholders would vote all of their shares of capital stock in favor of adopting the Merger Agreement and approving the issuance of shares of our common stock to ACELYRIN stockholders in connection with the merger of Arrow Merger Sub, Inc., a Delaware corporation and our direct wholly owned subsidiary, with and into ACELYRIN, with ACELYRIN continuing as our direct wholly owned subsidiary. Alan Colowick, M.D., M.P.H., a member of the Board, is Managing Director of Matrix Capital Management Company, an affiliate of AyurMaya Capital Management Fund LP. James B.</w:t>
      </w:r>
    </w:p>
    <w:p>
      <w:pPr>
        <w:spacing w:after="0" w:line="7" w:lineRule="exact"/>
        <w:rPr>
          <w:sz w:val="20"/>
          <w:szCs w:val="20"/>
          <w:color w:val="auto"/>
        </w:rPr>
      </w:pPr>
    </w:p>
    <w:p>
      <w:pPr>
        <w:jc w:val="both"/>
        <w:ind w:left="1260" w:right="579"/>
        <w:spacing w:after="0" w:line="246" w:lineRule="auto"/>
        <w:rPr>
          <w:sz w:val="20"/>
          <w:szCs w:val="20"/>
          <w:color w:val="auto"/>
        </w:rPr>
      </w:pPr>
      <w:r>
        <w:rPr>
          <w:rFonts w:ascii="Times New Roman" w:cs="Times New Roman" w:eastAsia="Times New Roman" w:hAnsi="Times New Roman"/>
          <w:sz w:val="18"/>
          <w:szCs w:val="18"/>
          <w:color w:val="auto"/>
        </w:rPr>
        <w:t>Tananbaum, M.D., a member of the Board, is President, Chief Executive Officer and a director of Foresite Capital Management. Srinivas Akkaraju, M.D., Ph.D., a member of the Board, is the managing member of Samsara BioCapital, LP.</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Foresite Labs Services Agreement</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January 29, 2021, we entered into a services agreement with Foresite Labs, LLC (“Foresite Labs”), an entity affiliated with Foresite Capital Management, a holder of more than 5% of our outstanding capital stock, which was amended and restated on August 24, 2021 and further amended and restated on December 22, 2023, pursuant to which Foresite Labs provides us with data and analytics services and other scientific support. Foresite Labs invoices us for the services quarterly in advance based on a mutually agreed service fee estimate, which is reconciled at the end of each quarter. For the three months ended March 31, 2026 and the years ended December 31, 2025 and 2024, we recognized $0.1 million, $1.1 million and $0.9 million, respectively, as research and development expenses under the service agreement. Accrued expenses under the service agreement were zero as of March 31, 2026.</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Series C and Series C-1 Convertible Preferred Stock Financing</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March and May 2024, we issued and sold an aggregate of 82,529,783 shares of Series C redeemable convertible preferred stock at a purchase price of $3.13826 per share. The aggregate proceeds for the Series C redeemable convertible preferred shares were $258,999,917.04.</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Series C and Series C-1 convertible preferred stock purchased by holders of more than 5% of our capital stock and entities affiliated with our executive officers and members of 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Participants</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20320</wp:posOffset>
            </wp:positionV>
            <wp:extent cx="52120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AyurMaya Capital Management Fund, LP</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affiliated with Baker Brothers Life Sciences, L.P.</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Entities affiliated with Foresite Capital Management</w:t>
      </w:r>
      <w:r>
        <w:rPr>
          <w:rFonts w:ascii="Times New Roman" w:cs="Times New Roman" w:eastAsia="Times New Roman" w:hAnsi="Times New Roman"/>
          <w:sz w:val="23"/>
          <w:szCs w:val="23"/>
          <w:color w:val="auto"/>
          <w:vertAlign w:val="superscript"/>
        </w:rPr>
        <w:t>(4)</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Samsara BioCapital, LP</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venBio Global Strategic Fund IV, L.P.</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12344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Series C-1</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180" w:type="dxa"/>
            <w:vAlign w:val="bottom"/>
          </w:tcPr>
          <w:p>
            <w:pPr>
              <w:spacing w:after="0"/>
              <w:rPr>
                <w:sz w:val="14"/>
                <w:szCs w:val="14"/>
                <w:color w:val="auto"/>
              </w:rPr>
            </w:pPr>
          </w:p>
        </w:tc>
        <w:tc>
          <w:tcPr>
            <w:tcW w:w="9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62"/>
        </w:trPr>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Preferred Stock</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w:t>
            </w:r>
          </w:p>
        </w:tc>
      </w:tr>
      <w:tr>
        <w:trPr>
          <w:trHeight w:val="214"/>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0"/>
        </w:trPr>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30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​12,745,916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​​​​39,999,998.36</w:t>
            </w:r>
          </w:p>
        </w:tc>
      </w:tr>
      <w:tr>
        <w:trPr>
          <w:trHeight w:val="283"/>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8,252,980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​​​​25,899,997.04</w:t>
            </w:r>
          </w:p>
        </w:tc>
      </w:tr>
      <w:tr>
        <w:trPr>
          <w:trHeight w:val="283"/>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​19,118,870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​​​​59,999,985.00</w:t>
            </w:r>
          </w:p>
        </w:tc>
      </w:tr>
      <w:tr>
        <w:trPr>
          <w:trHeight w:val="283"/>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7,966,196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​​​​24,999,994.26</w:t>
            </w:r>
          </w:p>
        </w:tc>
      </w:tr>
      <w:tr>
        <w:trPr>
          <w:trHeight w:val="283"/>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9,559,436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​​​​29,999,995.64</w:t>
            </w:r>
          </w:p>
        </w:tc>
      </w:tr>
    </w:tbl>
    <w:p>
      <w:pPr>
        <w:spacing w:after="0" w:line="200" w:lineRule="exact"/>
        <w:rPr>
          <w:sz w:val="20"/>
          <w:szCs w:val="20"/>
          <w:color w:val="auto"/>
        </w:rPr>
      </w:pPr>
    </w:p>
    <w:p>
      <w:pPr>
        <w:sectPr>
          <w:pgSz w:w="11900" w:h="16838" w:orient="portrait"/>
          <w:cols w:equalWidth="0" w:num="2">
            <w:col w:w="5740" w:space="360"/>
            <w:col w:w="3779"/>
          </w:cols>
          <w:pgMar w:left="580" w:top="97" w:right="1440" w:bottom="1440" w:gutter="0" w:footer="0" w:header="0"/>
          <w:type w:val="continuous"/>
        </w:sectPr>
      </w:pPr>
    </w:p>
    <w:p>
      <w:pPr>
        <w:spacing w:after="0" w:line="133" w:lineRule="exact"/>
        <w:rPr>
          <w:sz w:val="20"/>
          <w:szCs w:val="20"/>
          <w:color w:val="auto"/>
        </w:rPr>
      </w:pPr>
    </w:p>
    <w:p>
      <w:pPr>
        <w:ind w:left="1620" w:right="739" w:hanging="360"/>
        <w:spacing w:after="0" w:line="282"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these stockholders and their equity holdings are included in the section titled “Security Ownership of Certain Beneficial Owners and Management.”</w:t>
      </w:r>
    </w:p>
    <w:p>
      <w:pPr>
        <w:spacing w:after="0" w:line="13" w:lineRule="exact"/>
        <w:rPr>
          <w:rFonts w:ascii="Times New Roman" w:cs="Times New Roman" w:eastAsia="Times New Roman" w:hAnsi="Times New Roman"/>
          <w:sz w:val="18"/>
          <w:szCs w:val="18"/>
          <w:color w:val="auto"/>
        </w:rPr>
      </w:pPr>
    </w:p>
    <w:p>
      <w:pPr>
        <w:ind w:left="1620" w:right="719" w:hanging="360"/>
        <w:spacing w:after="0" w:line="258"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Colowick, M.D., M.P.H., a member of the Board, is Managing Director of Matrix Capital Management Company, an affiliate of AyurMaya Capital Management Fund LP, a holder of greater than 5% of our capital stock. Immediately prior to the closing of our IPO, all shares of our Series C redeemable convertible preferred stock held by AyurMaya Capital Management Fund, LP converted into 2,726,398 shares of our common stock.</w:t>
      </w:r>
    </w:p>
    <w:p>
      <w:pPr>
        <w:spacing w:after="0" w:line="48" w:lineRule="exact"/>
        <w:rPr>
          <w:rFonts w:ascii="Times New Roman" w:cs="Times New Roman" w:eastAsia="Times New Roman" w:hAnsi="Times New Roman"/>
          <w:sz w:val="18"/>
          <w:szCs w:val="18"/>
          <w:color w:val="auto"/>
        </w:rPr>
      </w:pPr>
    </w:p>
    <w:p>
      <w:pPr>
        <w:ind w:left="1620" w:right="479" w:hanging="360"/>
        <w:spacing w:after="0" w:line="258"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7,573,328 shares of our Series C redeemable convertible preferred stock issued to Baker Brothers Life Sciences, L.P. (“BBA”) and (ii) 679,652 shares of our Series C redeemable convertible preferred stock issued to 667, L.P (together with BBA, the “BBA Funds”). Immediately prior to the closing of our IPO, all shares of our Series C redeemable convertible preferred stock held by entities affiliated with BBA converted into 1,765,342 shares of our non-voting common stock.</w:t>
      </w:r>
    </w:p>
    <w:p>
      <w:pPr>
        <w:spacing w:after="0" w:line="34" w:lineRule="exact"/>
        <w:rPr>
          <w:rFonts w:ascii="Times New Roman" w:cs="Times New Roman" w:eastAsia="Times New Roman" w:hAnsi="Times New Roman"/>
          <w:sz w:val="18"/>
          <w:szCs w:val="18"/>
          <w:color w:val="auto"/>
        </w:rPr>
      </w:pPr>
    </w:p>
    <w:p>
      <w:pPr>
        <w:ind w:left="1620" w:right="459" w:hanging="360"/>
        <w:spacing w:after="0" w:line="253"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4,779,718 shares of our Series C redeemable convertible preferred stock issued to Foresite Capital Fund V, L.P., (ii) 3,186,478 shares of our Series C redeemable convertible preferred stock issued to Foresite Capital Opportunity Fund V, L.P., (iii) 3,186,478 shares of our Series C redeemable convertible preferred stock issued to Foresite Labs Fund I, L.P., and (iv) 7,966,196 shares of our Series C redeemable convertible preferred stock issued to Foresite Capital Fund VI, L.P. Entities affiliated with Foresite Capital Management beneficially own more than 5% of our outstanding capital stock. James B. Tananbaum, M.D., a member of the Board, is President, Chief Executive Officer and a director of Foresite Capital Management. Immediately prior to the closing of our IPO, all shares of our Series C redeemable convertible preferred stock held by entities affiliated with Foresite Capital Management converted into 4,089,592 shares of our common stock.</w:t>
      </w:r>
    </w:p>
    <w:p>
      <w:pPr>
        <w:spacing w:after="0" w:line="45" w:lineRule="exact"/>
        <w:rPr>
          <w:rFonts w:ascii="Times New Roman" w:cs="Times New Roman" w:eastAsia="Times New Roman" w:hAnsi="Times New Roman"/>
          <w:sz w:val="18"/>
          <w:szCs w:val="18"/>
          <w:color w:val="auto"/>
        </w:rPr>
      </w:pPr>
    </w:p>
    <w:p>
      <w:pPr>
        <w:ind w:left="1620" w:right="799" w:hanging="360"/>
        <w:spacing w:after="0" w:line="261"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Srinivas Akkaraju, M.D., Ph.D., a member of the Board, is the managing member of Samsara BioCapital, LP. Immediately prior to the closing of our IPO, all shares of our Series C redeemable convertible preferred stock held by Samsara BioCapital, LP converted into 1,703,998 shares of our common stock.</w:t>
      </w:r>
    </w:p>
    <w:p>
      <w:pPr>
        <w:spacing w:after="0" w:line="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Gaster, M.D., Ph.D., a former member of the Board who resigned from the Board in</w:t>
      </w:r>
    </w:p>
    <w:p>
      <w:pPr>
        <w:spacing w:after="0" w:line="27" w:lineRule="exact"/>
        <w:rPr>
          <w:rFonts w:ascii="Times New Roman" w:cs="Times New Roman" w:eastAsia="Times New Roman" w:hAnsi="Times New Roman"/>
          <w:sz w:val="18"/>
          <w:szCs w:val="18"/>
          <w:color w:val="auto"/>
        </w:rPr>
      </w:pPr>
    </w:p>
    <w:p>
      <w:pPr>
        <w:ind w:left="1620" w:right="4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2024, is a managing partner of venBio Partners LLC. Immediately prior to the closing of our IPO, all shares of our Series C redeemable convertible preferred stock held by venBio Global Strategic Fund IV, L.P. converted into 2,044,798 shares of our common stock.</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July 2024, we sold an aggregate of 13,125,000 shares of our common stock at a price to the public of $16.00 per share in our IPO. In connection with our IPO, AyurMaya Capital Management Fund, LP (“AyurMaya”), an existing holder of more than 5% of our capital stock, which is affiliated with one of our directors, agreed to purchase $40.0 million in shares of our common stock at the IPO price per share, in a private placement transaction (the “Concurrent Private Placement”). The sale of shares of our common</w:t>
      </w:r>
    </w:p>
    <w:p>
      <w:pPr>
        <w:sectPr>
          <w:pgSz w:w="11900" w:h="16838" w:orient="portrait"/>
          <w:cols w:equalWidth="0" w:num="1">
            <w:col w:w="9879"/>
          </w:cols>
          <w:pgMar w:left="580" w:top="97" w:right="1440" w:bottom="1440" w:gutter="0" w:footer="0" w:header="0"/>
          <w:type w:val="continuous"/>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stock in the Concurrent Private Placement to AyurMaya was not registered under the Securities Act, and as such, the shares may not be offered or sold absent registration or an applicable exemption from registration.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with, among others, holders of more than 5% of our capital stock and entities with which certain of our directors are affiliated. Certain of the holders of our common stock are entitled to rights with respect to the registration of their shares under the Securities Act, subject to certain exceptions. The investors’ rights agreement also provided for a right of first refusal in favor of certain holders of redeemable convertible preferred stock with regard to certain issuances of our capital stock. The right of first refusal terminated upon the consummation of our IPO.</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Stock Option Grants to Directors and Executive Officers</w:t>
      </w:r>
    </w:p>
    <w:p>
      <w:pPr>
        <w:spacing w:after="0" w:line="148"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named executive officers and granted stock options to our named executive officers and certain of our directors, as more fully described under the section titled “Executive and Director Compensation.”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Agreements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 the Board with discretion to indemnify our employees and other agents when determined appropriate by the Board. In addition, we have entered into an indemnification agreement with each of our directors and executive officers, which will require us to indemnify them. These agreements provide, among other things, that we will indemnify our executive officer or director, under the circumstances and to the extent provided for in the indemnification agreement, for expenses, damages, judgments, fines and settlements he or she may be required to pay in actions or proceedings which he or she is or may be made a party by reason of his or her position as a director, officer or other agent of us, and otherwise to the fullest extent permitted under Delaware law and our amended and restated bylaws.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have adopted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Audit Committee (or, where Audit Committee approval would be inappropriate, to another independent body of the Board).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Audit Committee for review, consideration and approval or ratification.</w:t>
      </w:r>
    </w:p>
    <w:p>
      <w:pPr>
        <w:spacing w:after="0" w:line="11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 person transaction, management must present information regarding the proposed related person transaction to our Audit Committee (or, where Audit Committee approval would be inappropriate, to another independent body of the Board) for consideration and approval or ratification. The presentation must include a description of, among other things, the material facts (including the proposed aggregate value), the interests, direct and indirect, of the related persons, the benefits to us of the transaction, the availability of other sources of comparable products or services, an assessment of whether the proposed related person transaction is on terms that are comparable to the terms available to or from, as the case may be, an unrelated third party, and management’s recommendation.</w:t>
      </w:r>
    </w:p>
    <w:p>
      <w:pPr>
        <w:spacing w:after="0" w:line="32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To identify related person transactions in advance, we rely on information supplied by our executive officers, directors and certain significant stockholders. In approving or rejecting any proposed related</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57" w:lineRule="auto"/>
        <w:rPr>
          <w:sz w:val="20"/>
          <w:szCs w:val="20"/>
          <w:color w:val="auto"/>
        </w:rPr>
      </w:pPr>
      <w:r>
        <w:rPr>
          <w:rFonts w:ascii="Times New Roman" w:cs="Times New Roman" w:eastAsia="Times New Roman" w:hAnsi="Times New Roman"/>
          <w:sz w:val="18"/>
          <w:szCs w:val="18"/>
          <w:color w:val="auto"/>
        </w:rPr>
        <w:t>person transaction, our Audit Committee considers all relevant available facts and circumstances, including, but not limited to (a) whether the transaction is on terms no less favorable than terms generally available to an unaffiliated third party under the same or similar circumstances, (b) the risks, costs and benefits to us,</w:t>
      </w:r>
    </w:p>
    <w:p>
      <w:pPr>
        <w:spacing w:after="0" w:line="1" w:lineRule="exact"/>
        <w:rPr>
          <w:sz w:val="20"/>
          <w:szCs w:val="20"/>
          <w:color w:val="auto"/>
        </w:rPr>
      </w:pPr>
    </w:p>
    <w:p>
      <w:pPr>
        <w:ind w:left="1260" w:right="419"/>
        <w:spacing w:after="0" w:line="251" w:lineRule="auto"/>
        <w:tabs>
          <w:tab w:leader="none" w:pos="15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related person’s interest in the transaction, including, without limitation, the impact on a director’s independence in the event the related person is a director, immediate family member of a director or an entity with which a director is affiliated, and (d) the availability of other sources for comparable services or products. In the event a director has an interest in the proposed transaction, the director must recuse himself or herself from the deliberations and approval or ratification. The policy requires that, in determining whether to approve, ratify or reject a related person transaction, our Audit Committee approves only those related person transactions that, in light of known circumstances, are in, or are not inconsistent with, our best interests and the best interests of our stockholders, as the Audit Committee determines in the good faith exercise of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or other Annual Meeting materials addressed to those stockholders. This process, which is commonly referred to as “householding,” potentially means extra convenience for stockholders and cost savings for companies.</w:t>
      </w:r>
    </w:p>
    <w:p>
      <w:pPr>
        <w:spacing w:after="0" w:line="11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Alumis Inc. stockholders will be “householding” our proxy materials. A single Notice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please notify your broker or us. Direct your written request to Alumis Inc., Attn: Corporate Secretary, 280 East Grand Avenue, South San Francisco, California 94080 or call 1-866-540-7095. Stockholders who currently receive multiple copies of the Notices of Internet Availability of Proxy Materials at their addresses and would like to request “householding” of their communications should contact their brokers.</w:t>
      </w:r>
    </w:p>
    <w:p>
      <w:pPr>
        <w:spacing w:after="0" w:line="19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148"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We make available, free of charge on our website, all of our filings that are made electronically with the SEC, including Forms 10-K, 10-Q and 8-K. To access these filings, go to our website, https://investors.alumis.com/financials-filings/sec-filings, “Financials &amp; Filings” heading. </w:t>
      </w:r>
      <w:r>
        <w:rPr>
          <w:rFonts w:ascii="Times New Roman" w:cs="Times New Roman" w:eastAsia="Times New Roman" w:hAnsi="Times New Roman"/>
          <w:sz w:val="18"/>
          <w:szCs w:val="18"/>
          <w:b w:val="1"/>
          <w:bCs w:val="1"/>
          <w:color w:val="auto"/>
        </w:rPr>
        <w:t>Copies of our</w:t>
      </w:r>
    </w:p>
    <w:p>
      <w:pPr>
        <w:spacing w:after="0" w:line="1" w:lineRule="exact"/>
        <w:rPr>
          <w:sz w:val="20"/>
          <w:szCs w:val="20"/>
          <w:color w:val="auto"/>
        </w:rPr>
      </w:pPr>
    </w:p>
    <w:p>
      <w:pPr>
        <w:ind w:left="1260" w:right="459"/>
        <w:spacing w:after="0" w:line="277" w:lineRule="auto"/>
        <w:rPr>
          <w:sz w:val="20"/>
          <w:szCs w:val="20"/>
          <w:color w:val="auto"/>
        </w:rPr>
      </w:pPr>
      <w:r>
        <w:rPr>
          <w:rFonts w:ascii="Times New Roman" w:cs="Times New Roman" w:eastAsia="Times New Roman" w:hAnsi="Times New Roman"/>
          <w:sz w:val="17"/>
          <w:szCs w:val="17"/>
          <w:b w:val="1"/>
          <w:bCs w:val="1"/>
          <w:color w:val="auto"/>
        </w:rPr>
        <w:t>Annual Report on Form 10-K for the year ended December 31, 2025, including financial statements and schedules thereto, filed with the SEC, are also available without charge to stockholders by contacting us by mail at Alumis Inc., Attn: Corporate Secretary, 280 East Grand Avenue, South San Francisco, California 94080.</w:t>
      </w:r>
    </w:p>
    <w:p>
      <w:pPr>
        <w:spacing w:after="0" w:line="1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 Sanam Pangali</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Sanam Pangali</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623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89623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541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895413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a"/>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amp;"/>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lvl w:ilvl="1">
      <w:lvlJc w:val="left"/>
      <w:lvlText w:val="(%2)"/>
      <w:numFmt w:val="lowerRoman"/>
      <w:start w:val="3"/>
    </w:lvl>
  </w:abstractNum>
  <w:abstractNum w:abstractNumId="28">
    <w:nsid w:val="5072367"/>
    <w:multiLevelType w:val="hybridMultilevel"/>
    <w:lvl w:ilvl="0">
      <w:lvlJc w:val="left"/>
      <w:lvlText w:val="%1"/>
      <w:numFmt w:val="decimal"/>
      <w:start w:val="1"/>
    </w:lvl>
    <w:lvl w:ilvl="1">
      <w:lvlJc w:val="left"/>
      <w:lvlText w:val="(%2)"/>
      <w:numFmt w:val="lowerRoman"/>
      <w:start w:val="6"/>
    </w:lvl>
  </w:abstractNum>
  <w:abstractNum w:abstractNumId="29">
    <w:nsid w:val="3804823E"/>
    <w:multiLevelType w:val="hybridMultilevel"/>
    <w:lvl w:ilvl="0">
      <w:lvlJc w:val="left"/>
      <w:lvlText w:val="(%1)"/>
      <w:numFmt w:val="decimal"/>
      <w:start w:val="2"/>
    </w:lvl>
    <w:lvl w:ilvl="1">
      <w:lvlJc w:val="left"/>
      <w:lvlText w:val="%2"/>
      <w:numFmt w:val="lowerRoman"/>
      <w:start w:val="1"/>
    </w:lvl>
  </w:abstractNum>
  <w:abstractNum w:abstractNumId="30">
    <w:nsid w:val="77465F01"/>
    <w:multiLevelType w:val="hybridMultilevel"/>
    <w:lvl w:ilvl="0">
      <w:lvlJc w:val="left"/>
      <w:lvlText w:val="(%1)"/>
      <w:numFmt w:val="decimal"/>
      <w:start w:val="4"/>
    </w:lvl>
  </w:abstractNum>
  <w:abstractNum w:abstractNumId="31">
    <w:nsid w:val="7724C67E"/>
    <w:multiLevelType w:val="hybridMultilevel"/>
    <w:lvl w:ilvl="0">
      <w:lvlJc w:val="left"/>
      <w:lvlText w:val="(%1)"/>
      <w:numFmt w:val="decimal"/>
      <w:start w:val="13"/>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5"/>
    </w:lvl>
  </w:abstractNum>
  <w:abstractNum w:abstractNumId="36">
    <w:nsid w:val="2D517796"/>
    <w:multiLevelType w:val="hybridMultilevel"/>
    <w:lvl w:ilvl="0">
      <w:lvlJc w:val="left"/>
      <w:lvlText w:val="(%1)"/>
      <w:numFmt w:val="decimal"/>
      <w:start w:val="30"/>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2"/>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2026-05-18T15:44:19Z</dcterms:created>
  <dcterms:modified xsi:type="dcterms:W3CDTF">2026-05-18T15:44:19Z</dcterms:modified>
</cp:coreProperties>
</file>